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6B78" w14:textId="77777777" w:rsidR="0039795A" w:rsidRPr="002D4CE0" w:rsidRDefault="0039795A" w:rsidP="0039795A">
      <w:pPr>
        <w:spacing w:line="240" w:lineRule="atLeast"/>
        <w:ind w:left="5103"/>
        <w:contextualSpacing/>
        <w:rPr>
          <w:rFonts w:ascii="PragmaticaCTT" w:hAnsi="PragmaticaCTT" w:cs="Arial"/>
          <w:sz w:val="20"/>
          <w:szCs w:val="20"/>
          <w:lang w:eastAsia="ru-UA"/>
        </w:rPr>
      </w:pPr>
      <w:r w:rsidRPr="002D4CE0">
        <w:rPr>
          <w:rFonts w:ascii="PragmaticaCTT" w:hAnsi="PragmaticaCTT" w:cs="Arial"/>
          <w:sz w:val="20"/>
          <w:szCs w:val="20"/>
          <w:lang w:eastAsia="ru-UA"/>
        </w:rPr>
        <w:t>ЗАТВЕРДЖЕНО</w:t>
      </w:r>
    </w:p>
    <w:p w14:paraId="1786BA94" w14:textId="77777777" w:rsidR="0039795A" w:rsidRPr="002D4CE0" w:rsidRDefault="0039795A" w:rsidP="0039795A">
      <w:pPr>
        <w:spacing w:line="240" w:lineRule="atLeast"/>
        <w:ind w:left="5103"/>
        <w:contextualSpacing/>
        <w:rPr>
          <w:rFonts w:ascii="PragmaticaCTT" w:hAnsi="PragmaticaCTT" w:cs="Arial"/>
          <w:sz w:val="20"/>
          <w:szCs w:val="20"/>
          <w:lang w:eastAsia="ru-UA"/>
        </w:rPr>
      </w:pPr>
      <w:r w:rsidRPr="002D4CE0">
        <w:rPr>
          <w:rFonts w:ascii="PragmaticaCTT" w:hAnsi="PragmaticaCTT" w:cs="Arial"/>
          <w:sz w:val="20"/>
          <w:szCs w:val="20"/>
          <w:lang w:eastAsia="ru-UA"/>
        </w:rPr>
        <w:t xml:space="preserve">Наглядовою радою </w:t>
      </w:r>
      <w:r>
        <w:rPr>
          <w:rFonts w:ascii="PragmaticaCTT" w:hAnsi="PragmaticaCTT" w:cs="Arial"/>
          <w:sz w:val="20"/>
          <w:szCs w:val="20"/>
          <w:lang w:eastAsia="ru-UA"/>
        </w:rPr>
        <w:t>ПР</w:t>
      </w:r>
      <w:r w:rsidRPr="002D4CE0">
        <w:rPr>
          <w:rFonts w:ascii="PragmaticaCTT" w:hAnsi="PragmaticaCTT" w:cs="Arial"/>
          <w:sz w:val="20"/>
          <w:szCs w:val="20"/>
          <w:lang w:eastAsia="ru-UA"/>
        </w:rPr>
        <w:t>АТ «</w:t>
      </w:r>
      <w:r>
        <w:rPr>
          <w:rFonts w:ascii="PragmaticaCTT" w:hAnsi="PragmaticaCTT" w:cs="Arial"/>
          <w:sz w:val="20"/>
          <w:szCs w:val="20"/>
          <w:lang w:eastAsia="ru-UA"/>
        </w:rPr>
        <w:t>Кропивницький ОЕЗ</w:t>
      </w:r>
      <w:r w:rsidRPr="002D4CE0">
        <w:rPr>
          <w:rFonts w:ascii="PragmaticaCTT" w:hAnsi="PragmaticaCTT" w:cs="Arial"/>
          <w:sz w:val="20"/>
          <w:szCs w:val="20"/>
          <w:lang w:eastAsia="ru-UA"/>
        </w:rPr>
        <w:t>»</w:t>
      </w:r>
    </w:p>
    <w:p w14:paraId="26B08D65" w14:textId="77777777" w:rsidR="0039795A" w:rsidRPr="002D4CE0" w:rsidRDefault="0039795A" w:rsidP="0039795A">
      <w:pPr>
        <w:spacing w:line="240" w:lineRule="atLeast"/>
        <w:ind w:left="5103"/>
        <w:contextualSpacing/>
        <w:rPr>
          <w:rFonts w:ascii="PragmaticaCTT" w:hAnsi="PragmaticaCTT" w:cs="Arial"/>
          <w:sz w:val="20"/>
          <w:szCs w:val="20"/>
          <w:lang w:eastAsia="ru-UA"/>
        </w:rPr>
      </w:pPr>
      <w:r w:rsidRPr="002D4CE0">
        <w:rPr>
          <w:rFonts w:ascii="PragmaticaCTT" w:hAnsi="PragmaticaCTT" w:cs="Arial"/>
          <w:sz w:val="20"/>
          <w:szCs w:val="20"/>
          <w:lang w:eastAsia="ru-UA"/>
        </w:rPr>
        <w:t xml:space="preserve">Протокол № </w:t>
      </w:r>
      <w:r>
        <w:rPr>
          <w:rFonts w:ascii="PragmaticaCTT" w:hAnsi="PragmaticaCTT" w:cs="Arial"/>
          <w:sz w:val="20"/>
          <w:szCs w:val="20"/>
          <w:lang w:eastAsia="ru-UA"/>
        </w:rPr>
        <w:t xml:space="preserve">10 </w:t>
      </w:r>
      <w:r w:rsidRPr="002D4CE0">
        <w:rPr>
          <w:rFonts w:ascii="PragmaticaCTT" w:hAnsi="PragmaticaCTT" w:cs="Arial"/>
          <w:sz w:val="20"/>
          <w:szCs w:val="20"/>
          <w:lang w:eastAsia="ru-UA"/>
        </w:rPr>
        <w:t>від 25.0</w:t>
      </w:r>
      <w:r>
        <w:rPr>
          <w:rFonts w:ascii="PragmaticaCTT" w:hAnsi="PragmaticaCTT" w:cs="Arial"/>
          <w:sz w:val="20"/>
          <w:szCs w:val="20"/>
          <w:lang w:eastAsia="ru-UA"/>
        </w:rPr>
        <w:t>7</w:t>
      </w:r>
      <w:r w:rsidRPr="002D4CE0">
        <w:rPr>
          <w:rFonts w:ascii="PragmaticaCTT" w:hAnsi="PragmaticaCTT" w:cs="Arial"/>
          <w:sz w:val="20"/>
          <w:szCs w:val="20"/>
          <w:lang w:eastAsia="ru-UA"/>
        </w:rPr>
        <w:t>.2022 року</w:t>
      </w:r>
    </w:p>
    <w:p w14:paraId="5E2D160F" w14:textId="77777777" w:rsidR="0039795A"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p>
    <w:p w14:paraId="02B42A66" w14:textId="77777777" w:rsidR="0039795A" w:rsidRPr="00B115B7" w:rsidRDefault="0039795A" w:rsidP="0039795A">
      <w:pPr>
        <w:pStyle w:val="a3"/>
        <w:shd w:val="clear" w:color="auto" w:fill="FFFFFF"/>
        <w:spacing w:before="0" w:beforeAutospacing="0" w:after="0" w:afterAutospacing="0"/>
        <w:jc w:val="center"/>
        <w:rPr>
          <w:rFonts w:ascii="PragmaticaCTT" w:hAnsi="PragmaticaCTT" w:cs="Arial"/>
          <w:sz w:val="20"/>
          <w:szCs w:val="20"/>
          <w:lang w:val="uk-UA"/>
        </w:rPr>
      </w:pPr>
      <w:r w:rsidRPr="00B115B7">
        <w:rPr>
          <w:rStyle w:val="a4"/>
          <w:rFonts w:ascii="PragmaticaCTT" w:hAnsi="PragmaticaCTT" w:cs="Arial"/>
          <w:sz w:val="20"/>
          <w:szCs w:val="20"/>
          <w:lang w:val="uk-UA"/>
        </w:rPr>
        <w:t>До уваги акціонерів</w:t>
      </w:r>
    </w:p>
    <w:p w14:paraId="54CB4293" w14:textId="77777777" w:rsidR="0039795A" w:rsidRPr="00B115B7"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115B7">
        <w:rPr>
          <w:rStyle w:val="a4"/>
          <w:rFonts w:ascii="PragmaticaCTT" w:hAnsi="PragmaticaCTT" w:cs="Arial"/>
          <w:sz w:val="20"/>
          <w:szCs w:val="20"/>
          <w:lang w:val="uk-UA"/>
        </w:rPr>
        <w:t>Приватного акціонерного товариства ”Кропивницький олійноекстракційний завод”</w:t>
      </w:r>
    </w:p>
    <w:p w14:paraId="14C5F21A" w14:textId="77777777" w:rsidR="0039795A" w:rsidRPr="00B115B7"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115B7">
        <w:rPr>
          <w:rStyle w:val="a4"/>
          <w:rFonts w:ascii="PragmaticaCTT" w:hAnsi="PragmaticaCTT" w:cs="Arial"/>
          <w:sz w:val="20"/>
          <w:szCs w:val="20"/>
          <w:lang w:val="uk-UA"/>
        </w:rPr>
        <w:t xml:space="preserve"> (далі – ПРАТ “Кропивницький ОЕЗ”, Товариство), </w:t>
      </w:r>
      <w:r>
        <w:rPr>
          <w:rStyle w:val="a4"/>
          <w:rFonts w:ascii="PragmaticaCTT" w:hAnsi="PragmaticaCTT" w:cs="Arial"/>
          <w:sz w:val="20"/>
          <w:szCs w:val="20"/>
          <w:lang w:val="uk-UA"/>
        </w:rPr>
        <w:t xml:space="preserve">ідентифікаційний </w:t>
      </w:r>
      <w:r w:rsidRPr="00B115B7">
        <w:rPr>
          <w:rStyle w:val="a4"/>
          <w:rFonts w:ascii="PragmaticaCTT" w:hAnsi="PragmaticaCTT" w:cs="Arial"/>
          <w:sz w:val="20"/>
          <w:szCs w:val="20"/>
          <w:lang w:val="uk-UA"/>
        </w:rPr>
        <w:t>код 00373869,</w:t>
      </w:r>
    </w:p>
    <w:p w14:paraId="08E57AC2" w14:textId="77777777" w:rsidR="0039795A" w:rsidRPr="00B115B7"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115B7">
        <w:rPr>
          <w:rStyle w:val="a4"/>
          <w:rFonts w:ascii="PragmaticaCTT" w:hAnsi="PragmaticaCTT" w:cs="Arial"/>
          <w:sz w:val="20"/>
          <w:szCs w:val="20"/>
          <w:lang w:val="uk-UA"/>
        </w:rPr>
        <w:t>місцезнаходження: вул. Урожайна, буд. 30, м. Кропивницький, поштовий індекс 25030;</w:t>
      </w:r>
    </w:p>
    <w:p w14:paraId="66A31780" w14:textId="77777777" w:rsidR="0039795A" w:rsidRPr="00B115B7"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115B7">
        <w:rPr>
          <w:rStyle w:val="a4"/>
          <w:rFonts w:ascii="PragmaticaCTT" w:hAnsi="PragmaticaCTT" w:cs="Arial"/>
          <w:sz w:val="20"/>
          <w:szCs w:val="20"/>
          <w:lang w:val="uk-UA"/>
        </w:rPr>
        <w:t>адреса для листування: r.uschapovsky@kernel.ua</w:t>
      </w:r>
    </w:p>
    <w:p w14:paraId="19C97E17" w14:textId="77777777" w:rsidR="0039795A" w:rsidRPr="00B115B7" w:rsidRDefault="0039795A" w:rsidP="0039795A">
      <w:pPr>
        <w:pStyle w:val="a6"/>
        <w:jc w:val="center"/>
        <w:rPr>
          <w:rStyle w:val="a4"/>
          <w:rFonts w:ascii="PragmaticaCTT" w:hAnsi="PragmaticaCTT" w:cs="Arial"/>
          <w:sz w:val="20"/>
          <w:szCs w:val="20"/>
        </w:rPr>
      </w:pPr>
      <w:r w:rsidRPr="00B115B7">
        <w:rPr>
          <w:rStyle w:val="a4"/>
          <w:rFonts w:ascii="PragmaticaCTT" w:hAnsi="PragmaticaCTT" w:cs="Arial"/>
          <w:sz w:val="20"/>
          <w:szCs w:val="20"/>
        </w:rPr>
        <w:t xml:space="preserve">Повідомляємо Вас про </w:t>
      </w:r>
      <w:r w:rsidRPr="00D56E5B">
        <w:rPr>
          <w:rStyle w:val="a4"/>
          <w:rFonts w:ascii="PragmaticaCTT" w:hAnsi="PragmaticaCTT" w:cs="Arial"/>
          <w:sz w:val="20"/>
          <w:szCs w:val="20"/>
          <w:u w:val="single"/>
        </w:rPr>
        <w:t>дистанційне</w:t>
      </w:r>
      <w:r w:rsidRPr="00B115B7">
        <w:rPr>
          <w:rStyle w:val="a4"/>
          <w:rFonts w:ascii="PragmaticaCTT" w:hAnsi="PragmaticaCTT" w:cs="Arial"/>
          <w:sz w:val="20"/>
          <w:szCs w:val="20"/>
        </w:rPr>
        <w:t xml:space="preserve"> </w:t>
      </w:r>
      <w:r w:rsidRPr="00294983">
        <w:rPr>
          <w:rStyle w:val="a4"/>
          <w:rFonts w:ascii="PragmaticaCTT" w:hAnsi="PragmaticaCTT" w:cs="Arial"/>
          <w:sz w:val="20"/>
          <w:szCs w:val="20"/>
        </w:rPr>
        <w:t xml:space="preserve">проведення </w:t>
      </w:r>
      <w:r w:rsidRPr="00294983">
        <w:rPr>
          <w:rStyle w:val="a4"/>
          <w:rFonts w:ascii="PragmaticaCTT" w:hAnsi="PragmaticaCTT"/>
          <w:sz w:val="20"/>
          <w:szCs w:val="20"/>
        </w:rPr>
        <w:t>18 серпня</w:t>
      </w:r>
      <w:r w:rsidRPr="00294983">
        <w:rPr>
          <w:rStyle w:val="a4"/>
          <w:rFonts w:ascii="PragmaticaCTT" w:hAnsi="PragmaticaCTT" w:cs="Arial"/>
          <w:sz w:val="20"/>
          <w:szCs w:val="20"/>
        </w:rPr>
        <w:t xml:space="preserve"> 2022 року позачергових Загальних зборів </w:t>
      </w:r>
      <w:r>
        <w:rPr>
          <w:rStyle w:val="a4"/>
          <w:rFonts w:ascii="PragmaticaCTT" w:hAnsi="PragmaticaCTT" w:cs="Arial"/>
          <w:sz w:val="20"/>
          <w:szCs w:val="20"/>
        </w:rPr>
        <w:t xml:space="preserve">акціонерів </w:t>
      </w:r>
      <w:r w:rsidRPr="00294983">
        <w:rPr>
          <w:rStyle w:val="a4"/>
          <w:rFonts w:ascii="PragmaticaCTT" w:hAnsi="PragmaticaCTT" w:cs="Arial"/>
          <w:sz w:val="20"/>
          <w:szCs w:val="20"/>
        </w:rPr>
        <w:t>ПРАТ “Кропивницький ОЕЗ”</w:t>
      </w:r>
    </w:p>
    <w:p w14:paraId="61F7041B" w14:textId="77777777" w:rsidR="0039795A" w:rsidRPr="00B115B7"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p>
    <w:p w14:paraId="5C657226" w14:textId="77777777" w:rsidR="0039795A" w:rsidRPr="00B115B7" w:rsidRDefault="0039795A" w:rsidP="0039795A">
      <w:pPr>
        <w:pStyle w:val="a3"/>
        <w:shd w:val="clear" w:color="auto" w:fill="FFFFFF"/>
        <w:spacing w:before="0" w:beforeAutospacing="0" w:after="0" w:afterAutospacing="0"/>
        <w:jc w:val="both"/>
        <w:rPr>
          <w:rFonts w:ascii="PragmaticaCTT" w:hAnsi="PragmaticaCTT" w:cs="Arial"/>
          <w:sz w:val="20"/>
          <w:szCs w:val="20"/>
          <w:lang w:val="uk-UA"/>
        </w:rPr>
      </w:pPr>
      <w:r w:rsidRPr="00B115B7">
        <w:rPr>
          <w:rFonts w:ascii="PragmaticaCTT" w:hAnsi="PragmaticaCTT" w:cs="Arial"/>
          <w:sz w:val="20"/>
          <w:szCs w:val="20"/>
          <w:lang w:val="uk-UA"/>
        </w:rPr>
        <w:t xml:space="preserve">Рішення про скликання </w:t>
      </w:r>
      <w:r>
        <w:rPr>
          <w:rFonts w:ascii="PragmaticaCTT" w:hAnsi="PragmaticaCTT" w:cs="Arial"/>
          <w:sz w:val="20"/>
          <w:szCs w:val="20"/>
          <w:lang w:val="uk-UA"/>
        </w:rPr>
        <w:t>позачергових</w:t>
      </w:r>
      <w:r w:rsidRPr="00B115B7">
        <w:rPr>
          <w:rFonts w:ascii="PragmaticaCTT" w:hAnsi="PragmaticaCTT" w:cs="Arial"/>
          <w:sz w:val="20"/>
          <w:szCs w:val="20"/>
          <w:lang w:val="uk-UA"/>
        </w:rPr>
        <w:t xml:space="preserve"> Загальних зборів акціонерів ПРАТ “</w:t>
      </w:r>
      <w:r w:rsidRPr="00294983">
        <w:rPr>
          <w:rFonts w:ascii="PragmaticaCTT" w:hAnsi="PragmaticaCTT" w:cs="Arial"/>
          <w:sz w:val="20"/>
          <w:szCs w:val="20"/>
          <w:lang w:val="uk-UA"/>
        </w:rPr>
        <w:t xml:space="preserve">Кропивницький ОЕЗ” та дистанційне їх проведення (далі </w:t>
      </w:r>
      <w:r>
        <w:rPr>
          <w:rFonts w:ascii="PragmaticaCTT" w:hAnsi="PragmaticaCTT" w:cs="Arial"/>
          <w:sz w:val="20"/>
          <w:szCs w:val="20"/>
          <w:lang w:val="uk-UA"/>
        </w:rPr>
        <w:t>також</w:t>
      </w:r>
      <w:r w:rsidRPr="00294983">
        <w:rPr>
          <w:rFonts w:ascii="PragmaticaCTT" w:hAnsi="PragmaticaCTT" w:cs="Arial"/>
          <w:sz w:val="20"/>
          <w:szCs w:val="20"/>
          <w:lang w:val="uk-UA"/>
        </w:rPr>
        <w:t xml:space="preserve"> Загальні збори) прийнято Наглядовою радою Товариства (Протокол № </w:t>
      </w:r>
      <w:r w:rsidRPr="002C0A27">
        <w:rPr>
          <w:rFonts w:ascii="PragmaticaCTT" w:hAnsi="PragmaticaCTT" w:cs="Arial"/>
          <w:sz w:val="20"/>
          <w:szCs w:val="20"/>
          <w:lang w:val="uk-UA"/>
        </w:rPr>
        <w:t>10</w:t>
      </w:r>
      <w:r w:rsidRPr="00294983">
        <w:rPr>
          <w:rFonts w:ascii="PragmaticaCTT" w:hAnsi="PragmaticaCTT" w:cs="Arial"/>
          <w:sz w:val="20"/>
          <w:szCs w:val="20"/>
          <w:lang w:val="uk-UA"/>
        </w:rPr>
        <w:t xml:space="preserve"> від 2</w:t>
      </w:r>
      <w:r w:rsidRPr="002C0A27">
        <w:rPr>
          <w:rFonts w:ascii="PragmaticaCTT" w:hAnsi="PragmaticaCTT" w:cs="Arial"/>
          <w:sz w:val="20"/>
          <w:szCs w:val="20"/>
          <w:lang w:val="uk-UA"/>
        </w:rPr>
        <w:t>5</w:t>
      </w:r>
      <w:r w:rsidRPr="00294983">
        <w:rPr>
          <w:rFonts w:ascii="PragmaticaCTT" w:hAnsi="PragmaticaCTT" w:cs="Arial"/>
          <w:sz w:val="20"/>
          <w:szCs w:val="20"/>
          <w:lang w:val="uk-UA"/>
        </w:rPr>
        <w:t>.07.2022 р.) 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w:t>
      </w:r>
      <w:r w:rsidRPr="00B115B7">
        <w:rPr>
          <w:rFonts w:ascii="PragmaticaCTT" w:hAnsi="PragmaticaCTT" w:cs="Arial"/>
          <w:sz w:val="20"/>
          <w:szCs w:val="20"/>
          <w:lang w:val="uk-UA"/>
        </w:rPr>
        <w:t xml:space="preserve"> соціальних та економічних гарантій у зв’язку з поширенням коронавірусної хвороби (COVID-19)» № 540-IX від 30.03.2020 року, у зв’язку із проведенням заходів, спрямованих на запобігання виникненню та поширенню коронавірусної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 1236 від 09.12.2020 року, а також у зв’язку з введенням воєнного стану відповідно до Указу Президента України від 24 лютого 2022 року № 64/2022</w:t>
      </w:r>
      <w:r>
        <w:rPr>
          <w:rFonts w:ascii="PragmaticaCTT" w:hAnsi="PragmaticaCTT" w:cs="Arial"/>
          <w:sz w:val="20"/>
          <w:szCs w:val="20"/>
          <w:lang w:val="uk-UA"/>
        </w:rPr>
        <w:t>,</w:t>
      </w:r>
      <w:r w:rsidRPr="00B115B7">
        <w:rPr>
          <w:rFonts w:ascii="PragmaticaCTT" w:hAnsi="PragmaticaCTT" w:cs="Arial"/>
          <w:sz w:val="20"/>
          <w:szCs w:val="20"/>
          <w:lang w:val="uk-UA"/>
        </w:rPr>
        <w:t xml:space="preserve"> Указу Президента України від 14 березня 2022 року № 133/2022</w:t>
      </w:r>
      <w:r>
        <w:rPr>
          <w:rFonts w:ascii="PragmaticaCTT" w:hAnsi="PragmaticaCTT" w:cs="Arial"/>
          <w:sz w:val="20"/>
          <w:szCs w:val="20"/>
          <w:lang w:val="uk-UA"/>
        </w:rPr>
        <w:t xml:space="preserve"> та Указу Президента України від 17.05.2022 року № 341/2022</w:t>
      </w:r>
      <w:r w:rsidRPr="00B115B7">
        <w:rPr>
          <w:rFonts w:ascii="PragmaticaCTT" w:hAnsi="PragmaticaCTT" w:cs="Arial"/>
          <w:sz w:val="20"/>
          <w:szCs w:val="20"/>
          <w:lang w:val="uk-UA"/>
        </w:rPr>
        <w:t xml:space="preserve">, з метою мінімізації негативного впливу наслідків військової агресії Російської Федерації проти України з урахуванням </w:t>
      </w:r>
      <w:r w:rsidRPr="00294983">
        <w:rPr>
          <w:rFonts w:ascii="PragmaticaCTT" w:hAnsi="PragmaticaCTT" w:cs="Arial"/>
          <w:sz w:val="20"/>
          <w:szCs w:val="20"/>
          <w:lang w:val="uk-UA"/>
        </w:rPr>
        <w:t>Тимчасового порядку скликання та дистанційного проведення загальних зборів акціонерів та загальних зборів учасників корпоративного інвестиційного</w:t>
      </w:r>
      <w:r w:rsidRPr="00B115B7">
        <w:rPr>
          <w:rFonts w:ascii="PragmaticaCTT" w:hAnsi="PragmaticaCTT" w:cs="Arial"/>
          <w:sz w:val="20"/>
          <w:szCs w:val="20"/>
          <w:lang w:val="uk-UA"/>
        </w:rPr>
        <w:t xml:space="preserve"> фонду, затвердженого рішенням Національної комісії з цінних паперів та фондового ринку від 16.04.2020 № 196 (із змінами) (далі – Тимчасовий порядок).</w:t>
      </w:r>
    </w:p>
    <w:p w14:paraId="3AD8FCB0" w14:textId="77777777" w:rsidR="0039795A" w:rsidRPr="00A07988" w:rsidRDefault="0039795A" w:rsidP="0039795A">
      <w:pPr>
        <w:pStyle w:val="a3"/>
        <w:shd w:val="clear" w:color="auto" w:fill="FFFFFF"/>
        <w:jc w:val="both"/>
        <w:rPr>
          <w:rFonts w:ascii="PragmaticaCTT" w:hAnsi="PragmaticaCTT" w:cs="Arial"/>
          <w:sz w:val="20"/>
          <w:szCs w:val="20"/>
          <w:lang w:val="ru-RU"/>
        </w:rPr>
      </w:pPr>
      <w:r w:rsidRPr="007C7D12">
        <w:rPr>
          <w:rStyle w:val="a4"/>
          <w:rFonts w:ascii="PragmaticaCTT" w:hAnsi="PragmaticaCTT"/>
          <w:sz w:val="20"/>
          <w:szCs w:val="20"/>
          <w:lang w:val="uk-UA"/>
        </w:rPr>
        <w:t>18 серпня</w:t>
      </w:r>
      <w:r w:rsidRPr="007C7D12">
        <w:rPr>
          <w:rStyle w:val="a4"/>
          <w:rFonts w:ascii="PragmaticaCTT" w:hAnsi="PragmaticaCTT" w:cs="Arial"/>
          <w:sz w:val="20"/>
          <w:szCs w:val="20"/>
          <w:lang w:val="uk-UA"/>
        </w:rPr>
        <w:t xml:space="preserve"> 2022 року</w:t>
      </w:r>
      <w:r w:rsidRPr="007C7D12">
        <w:rPr>
          <w:rFonts w:ascii="PragmaticaCTT" w:hAnsi="PragmaticaCTT" w:cs="Arial"/>
          <w:sz w:val="20"/>
          <w:szCs w:val="20"/>
          <w:lang w:val="uk-UA"/>
        </w:rPr>
        <w:t xml:space="preserve"> – дата дистанційного проведення Загальних зборів акціонерів (дата завершення</w:t>
      </w:r>
      <w:r w:rsidRPr="00294983">
        <w:rPr>
          <w:rFonts w:ascii="PragmaticaCTT" w:hAnsi="PragmaticaCTT" w:cs="Arial"/>
          <w:sz w:val="20"/>
          <w:szCs w:val="20"/>
          <w:lang w:val="uk-UA"/>
        </w:rPr>
        <w:t xml:space="preserve"> голосування), що будуть проведені у відповідності до Тимчасового порядку</w:t>
      </w:r>
      <w:r>
        <w:rPr>
          <w:rFonts w:ascii="PragmaticaCTT" w:hAnsi="PragmaticaCTT" w:cs="Arial"/>
          <w:sz w:val="20"/>
          <w:szCs w:val="20"/>
          <w:lang w:val="uk-UA"/>
        </w:rPr>
        <w:t>.</w:t>
      </w:r>
    </w:p>
    <w:p w14:paraId="3162C075" w14:textId="77777777" w:rsidR="0039795A" w:rsidRPr="00A46AB6" w:rsidRDefault="0039795A" w:rsidP="0039795A">
      <w:pPr>
        <w:pStyle w:val="a3"/>
        <w:shd w:val="clear" w:color="auto" w:fill="FFFFFF"/>
        <w:jc w:val="both"/>
        <w:rPr>
          <w:rFonts w:ascii="PragmaticaCTT" w:hAnsi="PragmaticaCTT" w:cs="Arial"/>
          <w:sz w:val="20"/>
          <w:szCs w:val="20"/>
          <w:lang w:val="uk-UA"/>
        </w:rPr>
      </w:pPr>
      <w:r w:rsidRPr="00B115B7">
        <w:rPr>
          <w:rFonts w:ascii="PragmaticaCTT" w:hAnsi="PragmaticaCTT" w:cs="Arial"/>
          <w:sz w:val="20"/>
          <w:szCs w:val="20"/>
          <w:lang w:val="uk-UA"/>
        </w:rPr>
        <w:t>Дата складення переліку акціонерів, які мають право на участь у</w:t>
      </w:r>
      <w:r>
        <w:rPr>
          <w:rFonts w:ascii="PragmaticaCTT" w:hAnsi="PragmaticaCTT" w:cs="Arial"/>
          <w:sz w:val="20"/>
          <w:szCs w:val="20"/>
          <w:lang w:val="uk-UA"/>
        </w:rPr>
        <w:t xml:space="preserve"> </w:t>
      </w:r>
      <w:r w:rsidRPr="00B115B7">
        <w:rPr>
          <w:rFonts w:ascii="PragmaticaCTT" w:hAnsi="PragmaticaCTT" w:cs="Arial"/>
          <w:sz w:val="20"/>
          <w:szCs w:val="20"/>
          <w:lang w:val="uk-UA"/>
        </w:rPr>
        <w:t>Загальних зборах</w:t>
      </w:r>
      <w:r w:rsidRPr="00A46AB6">
        <w:rPr>
          <w:rFonts w:ascii="PragmaticaCTT" w:hAnsi="PragmaticaCTT" w:cs="Arial"/>
          <w:sz w:val="20"/>
          <w:szCs w:val="20"/>
          <w:lang w:val="uk-UA"/>
        </w:rPr>
        <w:t>: 12 серпня 2022 року (станом на 24 годину).</w:t>
      </w:r>
    </w:p>
    <w:p w14:paraId="347E1E26" w14:textId="77777777" w:rsidR="0039795A" w:rsidRDefault="0039795A" w:rsidP="0039795A">
      <w:pPr>
        <w:pStyle w:val="a3"/>
        <w:shd w:val="clear" w:color="auto" w:fill="FFFFFF"/>
        <w:jc w:val="both"/>
        <w:rPr>
          <w:lang w:val="uk-UA"/>
        </w:rPr>
      </w:pPr>
      <w:r>
        <w:rPr>
          <w:rFonts w:ascii="PragmaticaCTT" w:hAnsi="PragmaticaCTT" w:cs="Arial"/>
          <w:sz w:val="20"/>
          <w:szCs w:val="20"/>
          <w:lang w:val="uk-UA"/>
        </w:rPr>
        <w:t>Б</w:t>
      </w:r>
      <w:r w:rsidRPr="00B115B7">
        <w:rPr>
          <w:rFonts w:ascii="PragmaticaCTT" w:hAnsi="PragmaticaCTT" w:cs="Arial"/>
          <w:sz w:val="20"/>
          <w:szCs w:val="20"/>
          <w:lang w:val="uk-UA"/>
        </w:rPr>
        <w:t>юлетен</w:t>
      </w:r>
      <w:r>
        <w:rPr>
          <w:rFonts w:ascii="PragmaticaCTT" w:hAnsi="PragmaticaCTT" w:cs="Arial"/>
          <w:sz w:val="20"/>
          <w:szCs w:val="20"/>
          <w:lang w:val="uk-UA"/>
        </w:rPr>
        <w:t>і</w:t>
      </w:r>
      <w:r w:rsidRPr="00B115B7">
        <w:rPr>
          <w:rFonts w:ascii="PragmaticaCTT" w:hAnsi="PragmaticaCTT" w:cs="Arial"/>
          <w:sz w:val="20"/>
          <w:szCs w:val="20"/>
          <w:lang w:val="uk-UA"/>
        </w:rPr>
        <w:t xml:space="preserve"> для </w:t>
      </w:r>
      <w:r w:rsidRPr="00A46AB6">
        <w:rPr>
          <w:rFonts w:ascii="PragmaticaCTT" w:hAnsi="PragmaticaCTT" w:cs="Arial"/>
          <w:sz w:val="20"/>
          <w:szCs w:val="20"/>
          <w:lang w:val="uk-UA"/>
        </w:rPr>
        <w:t>голосування</w:t>
      </w:r>
      <w:r>
        <w:rPr>
          <w:rFonts w:ascii="PragmaticaCTT" w:hAnsi="PragmaticaCTT" w:cs="Arial"/>
          <w:sz w:val="20"/>
          <w:szCs w:val="20"/>
          <w:lang w:val="uk-UA"/>
        </w:rPr>
        <w:t xml:space="preserve"> розміщуватимуться у вільному доступі для </w:t>
      </w:r>
      <w:r w:rsidRPr="00895434">
        <w:rPr>
          <w:rFonts w:ascii="PragmaticaCTT" w:hAnsi="PragmaticaCTT" w:cs="Arial"/>
          <w:sz w:val="20"/>
          <w:szCs w:val="20"/>
          <w:lang w:val="uk-UA"/>
        </w:rPr>
        <w:t xml:space="preserve">акціонерів </w:t>
      </w:r>
      <w:r w:rsidRPr="006208B6">
        <w:rPr>
          <w:rFonts w:ascii="PragmaticaCTT" w:hAnsi="PragmaticaCTT" w:cs="Arial"/>
          <w:sz w:val="20"/>
          <w:szCs w:val="20"/>
          <w:lang w:val="uk-UA"/>
        </w:rPr>
        <w:t>7</w:t>
      </w:r>
      <w:r w:rsidRPr="00895434">
        <w:rPr>
          <w:rFonts w:ascii="PragmaticaCTT" w:hAnsi="PragmaticaCTT" w:cs="Arial"/>
          <w:sz w:val="20"/>
          <w:szCs w:val="20"/>
          <w:lang w:val="uk-UA"/>
        </w:rPr>
        <w:t xml:space="preserve"> серпня 2022 року</w:t>
      </w:r>
      <w:r w:rsidRPr="00A46AB6">
        <w:rPr>
          <w:rFonts w:ascii="PragmaticaCTT" w:hAnsi="PragmaticaCTT" w:cs="Arial"/>
          <w:sz w:val="20"/>
          <w:szCs w:val="20"/>
          <w:lang w:val="uk-UA"/>
        </w:rPr>
        <w:t xml:space="preserve"> на</w:t>
      </w:r>
      <w:r>
        <w:rPr>
          <w:rFonts w:ascii="PragmaticaCTT" w:hAnsi="PragmaticaCTT" w:cs="Arial"/>
          <w:sz w:val="20"/>
          <w:szCs w:val="20"/>
          <w:lang w:val="uk-UA"/>
        </w:rPr>
        <w:t xml:space="preserve"> сторінці </w:t>
      </w:r>
      <w:r w:rsidRPr="00A46AB6">
        <w:rPr>
          <w:rFonts w:ascii="PragmaticaCTT" w:hAnsi="PragmaticaCTT" w:cs="Arial"/>
          <w:sz w:val="20"/>
          <w:szCs w:val="20"/>
          <w:lang w:val="uk-UA"/>
        </w:rPr>
        <w:t>вебсайт</w:t>
      </w:r>
      <w:r>
        <w:rPr>
          <w:rFonts w:ascii="PragmaticaCTT" w:hAnsi="PragmaticaCTT" w:cs="Arial"/>
          <w:sz w:val="20"/>
          <w:szCs w:val="20"/>
          <w:lang w:val="uk-UA"/>
        </w:rPr>
        <w:t>у</w:t>
      </w:r>
      <w:r w:rsidRPr="00B115B7">
        <w:rPr>
          <w:rFonts w:ascii="PragmaticaCTT" w:hAnsi="PragmaticaCTT" w:cs="Arial"/>
          <w:sz w:val="20"/>
          <w:szCs w:val="20"/>
          <w:lang w:val="uk-UA"/>
        </w:rPr>
        <w:t xml:space="preserve"> Товариства за </w:t>
      </w:r>
      <w:r>
        <w:rPr>
          <w:rFonts w:ascii="PragmaticaCTT" w:hAnsi="PragmaticaCTT" w:cs="Arial"/>
          <w:sz w:val="20"/>
          <w:szCs w:val="20"/>
          <w:lang w:val="uk-UA"/>
        </w:rPr>
        <w:t>посиланням</w:t>
      </w:r>
      <w:r w:rsidRPr="00B115B7">
        <w:rPr>
          <w:rFonts w:ascii="PragmaticaCTT" w:hAnsi="PragmaticaCTT" w:cs="Arial"/>
          <w:sz w:val="20"/>
          <w:szCs w:val="20"/>
          <w:lang w:val="uk-UA"/>
        </w:rPr>
        <w:t xml:space="preserve">: </w:t>
      </w:r>
      <w:hyperlink r:id="rId7" w:history="1">
        <w:r w:rsidRPr="002E26D2">
          <w:rPr>
            <w:rStyle w:val="a7"/>
          </w:rPr>
          <w:t>http://kirovogradoliya.pat.ua/documents/infoinshe</w:t>
        </w:r>
      </w:hyperlink>
      <w:r w:rsidRPr="004636E4">
        <w:rPr>
          <w:lang w:val="ru-RU"/>
        </w:rPr>
        <w:t xml:space="preserve"> </w:t>
      </w:r>
      <w:r>
        <w:rPr>
          <w:lang w:val="uk-UA"/>
        </w:rPr>
        <w:t>.</w:t>
      </w:r>
    </w:p>
    <w:p w14:paraId="655762E2" w14:textId="77777777" w:rsidR="0039795A" w:rsidRPr="004636E4" w:rsidRDefault="0039795A" w:rsidP="0039795A">
      <w:pPr>
        <w:pStyle w:val="a3"/>
        <w:shd w:val="clear" w:color="auto" w:fill="FFFFFF"/>
        <w:jc w:val="both"/>
        <w:rPr>
          <w:lang w:val="ru-RU"/>
        </w:rPr>
      </w:pPr>
      <w:r w:rsidRPr="00B115B7">
        <w:rPr>
          <w:rFonts w:ascii="PragmaticaCTT" w:hAnsi="PragmaticaCTT" w:cs="Arial"/>
          <w:sz w:val="20"/>
          <w:szCs w:val="20"/>
          <w:lang w:val="uk-UA"/>
        </w:rPr>
        <w:t>Бюлетені для голосування на</w:t>
      </w:r>
      <w:r>
        <w:rPr>
          <w:rFonts w:ascii="PragmaticaCTT" w:hAnsi="PragmaticaCTT" w:cs="Arial"/>
          <w:sz w:val="20"/>
          <w:szCs w:val="20"/>
          <w:lang w:val="uk-UA"/>
        </w:rPr>
        <w:t xml:space="preserve"> </w:t>
      </w:r>
      <w:r w:rsidRPr="00B115B7">
        <w:rPr>
          <w:rFonts w:ascii="PragmaticaCTT" w:hAnsi="PragmaticaCTT" w:cs="Arial"/>
          <w:sz w:val="20"/>
          <w:szCs w:val="20"/>
          <w:lang w:val="uk-UA"/>
        </w:rPr>
        <w:t xml:space="preserve">Загальних зборах приймаються виключно до 18-00 </w:t>
      </w:r>
      <w:r>
        <w:rPr>
          <w:rFonts w:ascii="PragmaticaCTT" w:hAnsi="PragmaticaCTT" w:cs="Arial"/>
          <w:sz w:val="20"/>
          <w:szCs w:val="20"/>
          <w:lang w:val="uk-UA"/>
        </w:rPr>
        <w:t xml:space="preserve">години </w:t>
      </w:r>
      <w:r w:rsidRPr="00B115B7">
        <w:rPr>
          <w:rFonts w:ascii="PragmaticaCTT" w:hAnsi="PragmaticaCTT" w:cs="Arial"/>
          <w:sz w:val="20"/>
          <w:szCs w:val="20"/>
          <w:lang w:val="uk-UA"/>
        </w:rPr>
        <w:t xml:space="preserve">дати завершення </w:t>
      </w:r>
      <w:r w:rsidRPr="00A46AB6">
        <w:rPr>
          <w:rFonts w:ascii="PragmaticaCTT" w:hAnsi="PragmaticaCTT" w:cs="Arial"/>
          <w:sz w:val="20"/>
          <w:szCs w:val="20"/>
          <w:lang w:val="uk-UA"/>
        </w:rPr>
        <w:t xml:space="preserve">голосування </w:t>
      </w:r>
      <w:r>
        <w:rPr>
          <w:rFonts w:ascii="PragmaticaCTT" w:hAnsi="PragmaticaCTT" w:cs="Arial"/>
          <w:sz w:val="20"/>
          <w:szCs w:val="20"/>
          <w:lang w:val="uk-UA"/>
        </w:rPr>
        <w:t xml:space="preserve">- </w:t>
      </w:r>
      <w:r w:rsidRPr="00A46AB6">
        <w:rPr>
          <w:rFonts w:ascii="PragmaticaCTT" w:hAnsi="PragmaticaCTT" w:cs="Arial"/>
          <w:sz w:val="20"/>
          <w:szCs w:val="20"/>
          <w:lang w:val="uk-UA"/>
        </w:rPr>
        <w:t>18 серпня 2022 року.</w:t>
      </w:r>
    </w:p>
    <w:p w14:paraId="64795217" w14:textId="77777777" w:rsidR="0039795A" w:rsidRPr="00B221EF"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115B7">
        <w:rPr>
          <w:rStyle w:val="a4"/>
          <w:rFonts w:ascii="PragmaticaCTT" w:hAnsi="PragmaticaCTT" w:cs="Arial"/>
          <w:sz w:val="20"/>
          <w:szCs w:val="20"/>
          <w:lang w:val="uk-UA"/>
        </w:rPr>
        <w:t xml:space="preserve">Перелік </w:t>
      </w:r>
      <w:r w:rsidRPr="00B221EF">
        <w:rPr>
          <w:rStyle w:val="a4"/>
          <w:rFonts w:ascii="PragmaticaCTT" w:hAnsi="PragmaticaCTT" w:cs="Arial"/>
          <w:sz w:val="20"/>
          <w:szCs w:val="20"/>
          <w:lang w:val="uk-UA"/>
        </w:rPr>
        <w:t>питань (порядок денний)</w:t>
      </w:r>
      <w:r w:rsidRPr="00B221EF">
        <w:rPr>
          <w:rFonts w:ascii="PragmaticaCTT" w:hAnsi="PragmaticaCTT" w:cs="Arial"/>
          <w:sz w:val="20"/>
          <w:szCs w:val="20"/>
          <w:lang w:val="uk-UA"/>
        </w:rPr>
        <w:t xml:space="preserve"> </w:t>
      </w:r>
      <w:r w:rsidRPr="00B221EF">
        <w:rPr>
          <w:rStyle w:val="a4"/>
          <w:rFonts w:ascii="PragmaticaCTT" w:hAnsi="PragmaticaCTT" w:cs="Arial"/>
          <w:sz w:val="20"/>
          <w:szCs w:val="20"/>
          <w:lang w:val="uk-UA"/>
        </w:rPr>
        <w:t>з про</w:t>
      </w:r>
      <w:r>
        <w:rPr>
          <w:rStyle w:val="a4"/>
          <w:rFonts w:ascii="PragmaticaCTT" w:hAnsi="PragmaticaCTT" w:cs="Arial"/>
          <w:sz w:val="20"/>
          <w:szCs w:val="20"/>
          <w:lang w:val="uk-UA"/>
        </w:rPr>
        <w:t>є</w:t>
      </w:r>
      <w:r w:rsidRPr="00B221EF">
        <w:rPr>
          <w:rStyle w:val="a4"/>
          <w:rFonts w:ascii="PragmaticaCTT" w:hAnsi="PragmaticaCTT" w:cs="Arial"/>
          <w:sz w:val="20"/>
          <w:szCs w:val="20"/>
          <w:lang w:val="uk-UA"/>
        </w:rPr>
        <w:t>ктами</w:t>
      </w:r>
      <w:r w:rsidRPr="00B221EF">
        <w:rPr>
          <w:rFonts w:ascii="PragmaticaCTT" w:hAnsi="PragmaticaCTT" w:cs="Arial"/>
          <w:sz w:val="20"/>
          <w:szCs w:val="20"/>
          <w:lang w:val="uk-UA"/>
        </w:rPr>
        <w:t xml:space="preserve"> </w:t>
      </w:r>
      <w:r w:rsidRPr="00B221EF">
        <w:rPr>
          <w:rStyle w:val="a4"/>
          <w:rFonts w:ascii="PragmaticaCTT" w:hAnsi="PragmaticaCTT" w:cs="Arial"/>
          <w:sz w:val="20"/>
          <w:szCs w:val="20"/>
          <w:lang w:val="uk-UA"/>
        </w:rPr>
        <w:t>рішень (крім кумулятивного голосування)</w:t>
      </w:r>
    </w:p>
    <w:p w14:paraId="1D4F1BF7" w14:textId="77777777" w:rsidR="0039795A" w:rsidRDefault="0039795A" w:rsidP="0039795A">
      <w:pPr>
        <w:pStyle w:val="a3"/>
        <w:shd w:val="clear" w:color="auto" w:fill="FFFFFF"/>
        <w:spacing w:before="0" w:beforeAutospacing="0" w:after="0" w:afterAutospacing="0"/>
        <w:jc w:val="center"/>
        <w:rPr>
          <w:rStyle w:val="a4"/>
          <w:rFonts w:ascii="PragmaticaCTT" w:hAnsi="PragmaticaCTT" w:cs="Arial"/>
          <w:sz w:val="20"/>
          <w:szCs w:val="20"/>
          <w:lang w:val="uk-UA"/>
        </w:rPr>
      </w:pPr>
      <w:r w:rsidRPr="00B221EF">
        <w:rPr>
          <w:rStyle w:val="a4"/>
          <w:rFonts w:ascii="PragmaticaCTT" w:hAnsi="PragmaticaCTT" w:cs="Arial"/>
          <w:sz w:val="20"/>
          <w:szCs w:val="20"/>
          <w:lang w:val="uk-UA"/>
        </w:rPr>
        <w:t>щодо кожного з питань,</w:t>
      </w:r>
      <w:r w:rsidRPr="00B221EF">
        <w:rPr>
          <w:rFonts w:ascii="PragmaticaCTT" w:hAnsi="PragmaticaCTT" w:cs="Arial"/>
          <w:sz w:val="20"/>
          <w:szCs w:val="20"/>
          <w:lang w:val="uk-UA"/>
        </w:rPr>
        <w:t xml:space="preserve"> </w:t>
      </w:r>
      <w:r w:rsidRPr="00B221EF">
        <w:rPr>
          <w:rStyle w:val="a4"/>
          <w:rFonts w:ascii="PragmaticaCTT" w:hAnsi="PragmaticaCTT" w:cs="Arial"/>
          <w:sz w:val="20"/>
          <w:szCs w:val="20"/>
          <w:lang w:val="uk-UA"/>
        </w:rPr>
        <w:t>включених до порядку денного:</w:t>
      </w:r>
    </w:p>
    <w:p w14:paraId="7EF0A3E0" w14:textId="77777777" w:rsidR="0039795A" w:rsidRPr="00B221EF" w:rsidRDefault="0039795A" w:rsidP="0039795A">
      <w:pPr>
        <w:pStyle w:val="a3"/>
        <w:shd w:val="clear" w:color="auto" w:fill="FFFFFF"/>
        <w:spacing w:before="0" w:beforeAutospacing="0" w:after="0" w:afterAutospacing="0"/>
        <w:jc w:val="center"/>
        <w:rPr>
          <w:rFonts w:ascii="PragmaticaCTT" w:hAnsi="PragmaticaCTT" w:cs="Arial"/>
          <w:sz w:val="20"/>
          <w:szCs w:val="20"/>
          <w:lang w:val="uk-UA"/>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692"/>
        <w:gridCol w:w="6095"/>
      </w:tblGrid>
      <w:tr w:rsidR="0039795A" w:rsidRPr="0073601E" w14:paraId="7F2E0CBD" w14:textId="77777777" w:rsidTr="00E04A6A">
        <w:tc>
          <w:tcPr>
            <w:tcW w:w="532" w:type="dxa"/>
          </w:tcPr>
          <w:p w14:paraId="70CBBDB6" w14:textId="77777777" w:rsidR="0039795A" w:rsidRPr="0073601E" w:rsidRDefault="0039795A" w:rsidP="00E04A6A">
            <w:pPr>
              <w:autoSpaceDE w:val="0"/>
              <w:jc w:val="right"/>
              <w:rPr>
                <w:rFonts w:ascii="PragmaticaCTT" w:hAnsi="PragmaticaCTT"/>
                <w:b/>
                <w:bCs/>
                <w:sz w:val="19"/>
                <w:szCs w:val="19"/>
              </w:rPr>
            </w:pPr>
            <w:r w:rsidRPr="0073601E">
              <w:rPr>
                <w:rFonts w:ascii="PragmaticaCTT" w:hAnsi="PragmaticaCTT"/>
                <w:b/>
                <w:bCs/>
                <w:sz w:val="19"/>
                <w:szCs w:val="19"/>
              </w:rPr>
              <w:t>№</w:t>
            </w:r>
          </w:p>
        </w:tc>
        <w:tc>
          <w:tcPr>
            <w:tcW w:w="3692" w:type="dxa"/>
          </w:tcPr>
          <w:p w14:paraId="5339DA57" w14:textId="77777777" w:rsidR="0039795A" w:rsidRPr="0073601E" w:rsidRDefault="0039795A" w:rsidP="00E04A6A">
            <w:pPr>
              <w:autoSpaceDE w:val="0"/>
              <w:jc w:val="both"/>
              <w:rPr>
                <w:rFonts w:ascii="PragmaticaCTT" w:hAnsi="PragmaticaCTT"/>
                <w:b/>
                <w:bCs/>
                <w:sz w:val="19"/>
                <w:szCs w:val="19"/>
              </w:rPr>
            </w:pPr>
            <w:r w:rsidRPr="0073601E">
              <w:rPr>
                <w:rFonts w:ascii="PragmaticaCTT" w:hAnsi="PragmaticaCTT"/>
                <w:b/>
                <w:bCs/>
                <w:sz w:val="19"/>
                <w:szCs w:val="19"/>
              </w:rPr>
              <w:t>Порядок денний</w:t>
            </w:r>
            <w:r>
              <w:rPr>
                <w:rFonts w:ascii="PragmaticaCTT" w:hAnsi="PragmaticaCTT"/>
                <w:b/>
                <w:bCs/>
                <w:sz w:val="19"/>
                <w:szCs w:val="19"/>
              </w:rPr>
              <w:t>:</w:t>
            </w:r>
          </w:p>
        </w:tc>
        <w:tc>
          <w:tcPr>
            <w:tcW w:w="6095" w:type="dxa"/>
          </w:tcPr>
          <w:p w14:paraId="6D7A12BF" w14:textId="77777777" w:rsidR="0039795A" w:rsidRPr="0073601E" w:rsidRDefault="0039795A" w:rsidP="00E04A6A">
            <w:pPr>
              <w:autoSpaceDE w:val="0"/>
              <w:jc w:val="both"/>
              <w:rPr>
                <w:rFonts w:ascii="PragmaticaCTT" w:hAnsi="PragmaticaCTT"/>
                <w:b/>
                <w:bCs/>
                <w:sz w:val="19"/>
                <w:szCs w:val="19"/>
              </w:rPr>
            </w:pPr>
            <w:r w:rsidRPr="0073601E">
              <w:rPr>
                <w:rFonts w:ascii="PragmaticaCTT" w:hAnsi="PragmaticaCTT"/>
                <w:b/>
                <w:bCs/>
                <w:sz w:val="19"/>
                <w:szCs w:val="19"/>
              </w:rPr>
              <w:t>Проєкти рішень з питань, включених до порядку денного:</w:t>
            </w:r>
          </w:p>
        </w:tc>
      </w:tr>
      <w:tr w:rsidR="0039795A" w:rsidRPr="0073601E" w14:paraId="0927D63B" w14:textId="77777777" w:rsidTr="00E04A6A">
        <w:tc>
          <w:tcPr>
            <w:tcW w:w="532" w:type="dxa"/>
          </w:tcPr>
          <w:p w14:paraId="24ABA978" w14:textId="77777777" w:rsidR="0039795A" w:rsidRPr="0073601E" w:rsidRDefault="0039795A" w:rsidP="0039795A">
            <w:pPr>
              <w:pStyle w:val="a9"/>
              <w:numPr>
                <w:ilvl w:val="0"/>
                <w:numId w:val="3"/>
              </w:numPr>
              <w:autoSpaceDE w:val="0"/>
              <w:ind w:left="0"/>
              <w:jc w:val="right"/>
              <w:rPr>
                <w:rFonts w:ascii="PragmaticaCTT" w:hAnsi="PragmaticaCTT"/>
                <w:sz w:val="19"/>
                <w:szCs w:val="19"/>
              </w:rPr>
            </w:pPr>
          </w:p>
        </w:tc>
        <w:tc>
          <w:tcPr>
            <w:tcW w:w="3692" w:type="dxa"/>
            <w:shd w:val="clear" w:color="auto" w:fill="auto"/>
          </w:tcPr>
          <w:p w14:paraId="68912F57" w14:textId="77777777" w:rsidR="0039795A" w:rsidRPr="0073601E" w:rsidRDefault="0039795A" w:rsidP="00E04A6A">
            <w:pPr>
              <w:widowControl w:val="0"/>
              <w:shd w:val="clear" w:color="auto" w:fill="FFFFFF"/>
              <w:autoSpaceDE w:val="0"/>
              <w:autoSpaceDN w:val="0"/>
              <w:adjustRightInd w:val="0"/>
              <w:rPr>
                <w:rFonts w:ascii="PragmaticaCTT" w:hAnsi="PragmaticaCTT"/>
                <w:sz w:val="19"/>
                <w:szCs w:val="19"/>
              </w:rPr>
            </w:pPr>
            <w:r w:rsidRPr="0073601E">
              <w:rPr>
                <w:rFonts w:ascii="PragmaticaCTT" w:hAnsi="PragmaticaCTT"/>
                <w:sz w:val="19"/>
                <w:szCs w:val="19"/>
              </w:rPr>
              <w:t>Надання згоди на вчинення Товариством правочинів, щодо вчинення яких є заінтересованість.</w:t>
            </w:r>
          </w:p>
        </w:tc>
        <w:tc>
          <w:tcPr>
            <w:tcW w:w="6095" w:type="dxa"/>
            <w:shd w:val="clear" w:color="auto" w:fill="auto"/>
          </w:tcPr>
          <w:p w14:paraId="24D21923" w14:textId="77777777" w:rsidR="0039795A" w:rsidRPr="0073601E" w:rsidRDefault="0039795A" w:rsidP="00E04A6A">
            <w:pPr>
              <w:tabs>
                <w:tab w:val="left" w:pos="318"/>
                <w:tab w:val="left" w:pos="660"/>
              </w:tabs>
              <w:contextualSpacing/>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Надати згоду на укладення Товариством наступних договорів, щодо вчинення яких є заінтересованість, шляхом підписання Товариством листа про приєднання до них:</w:t>
            </w:r>
          </w:p>
          <w:p w14:paraId="2B1B2936" w14:textId="77777777" w:rsidR="0039795A" w:rsidRPr="0073601E" w:rsidRDefault="0039795A" w:rsidP="00E04A6A">
            <w:pPr>
              <w:tabs>
                <w:tab w:val="left" w:pos="318"/>
                <w:tab w:val="left" w:pos="660"/>
              </w:tabs>
              <w:contextualSpacing/>
              <w:jc w:val="both"/>
              <w:rPr>
                <w:rFonts w:ascii="PragmaticaCTT" w:hAnsi="PragmaticaCTT" w:cs="Arial"/>
                <w:sz w:val="19"/>
                <w:szCs w:val="19"/>
              </w:rPr>
            </w:pPr>
            <w:r w:rsidRPr="0073601E">
              <w:rPr>
                <w:rFonts w:ascii="PragmaticaCTT" w:hAnsi="PragmaticaCTT" w:cs="Arial"/>
                <w:sz w:val="19"/>
                <w:szCs w:val="19"/>
              </w:rPr>
              <w:t>(a) кредитного договору від 19 лютого 2019 року, укладеного між, з поміж інших, ТОВ "Українська Чорноморська Індустрія", ПрАТ "Полтавський Олійноекстракційний Завод – Кернел Груп", ТОВ "Бандурський Олійноекстракційний Завод" та ПрАТ "Вовчанський Олійноекстракційний Завод" як позичальниками та Європейським Банком Реконструкції та Розвитку як кредитором, за яким Європейський Банк Реконструкції та Розвитку надає позичальникам фінансування (кредит) на загальну суму, що не перевищує 56 млн доларів США, що складається з траншу ЄБРР у розмірі до 48 млн доларів США та траншу Фонду Чистих Технологій у розмірі до 8 млн доларів США строком до 5 травня 2027 року, але в будь-якому разі не пізніше ніж до Дати Припинення (як цей термін визначений у Кредитному Договорі) зі сплатою процентів у розмірі, визначеному у Кредитному Договорі ("Кредитний Договір");</w:t>
            </w:r>
          </w:p>
          <w:p w14:paraId="4C08B9C2" w14:textId="77777777" w:rsidR="0039795A" w:rsidRPr="0073601E" w:rsidRDefault="0039795A" w:rsidP="00E04A6A">
            <w:pPr>
              <w:tabs>
                <w:tab w:val="left" w:pos="318"/>
                <w:tab w:val="left" w:pos="660"/>
              </w:tabs>
              <w:contextualSpacing/>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 xml:space="preserve">(b) договору поруки від 19 лютого 2019 року між компаніями, </w:t>
            </w:r>
            <w:r w:rsidRPr="0073601E">
              <w:rPr>
                <w:rFonts w:ascii="PragmaticaCTT" w:hAnsi="PragmaticaCTT" w:cs="Arial"/>
                <w:color w:val="000000" w:themeColor="text1"/>
                <w:sz w:val="19"/>
                <w:szCs w:val="19"/>
              </w:rPr>
              <w:lastRenderedPageBreak/>
              <w:t>зазначеними в ньому, як солідарними поручителями та Європейським Банком Реконструкції та Розвитку як бенефіціаром (“Договір Поруки”), за яким Товариство буде виступати солідарним поручителем за зобов’язаннями позичальників та інших сторін Кредитного Договору та Договору Поруки, враховуючи зобов’язання щодо повернення суми кредиту та сплати усіх процентів, комісій, винагород, а також інших виплат, передбачених Кредитним Договором;</w:t>
            </w:r>
          </w:p>
          <w:p w14:paraId="05CB29B6" w14:textId="77777777" w:rsidR="0039795A" w:rsidRPr="0073601E" w:rsidRDefault="0039795A" w:rsidP="00E04A6A">
            <w:pPr>
              <w:pStyle w:val="a9"/>
              <w:tabs>
                <w:tab w:val="left" w:pos="176"/>
                <w:tab w:val="left" w:pos="660"/>
              </w:tabs>
              <w:ind w:left="0"/>
              <w:jc w:val="both"/>
              <w:rPr>
                <w:rFonts w:ascii="PragmaticaCTT" w:hAnsi="PragmaticaCTT" w:cs="Arial"/>
                <w:color w:val="000000" w:themeColor="text1"/>
                <w:sz w:val="19"/>
                <w:szCs w:val="19"/>
                <w:lang w:eastAsia="en-US"/>
              </w:rPr>
            </w:pPr>
            <w:r w:rsidRPr="0073601E">
              <w:rPr>
                <w:rFonts w:ascii="PragmaticaCTT" w:hAnsi="PragmaticaCTT" w:cs="Arial"/>
                <w:color w:val="000000" w:themeColor="text1"/>
                <w:sz w:val="19"/>
                <w:szCs w:val="19"/>
                <w:lang w:eastAsia="en-US"/>
              </w:rPr>
              <w:t>(c) укладення будь-яких додаткових угод, договорів про внесення змін, договорів про викладення у новій редакції, договорів про припинення, договорів розірвання до Кредитного Договору та Договору Поруки, та будь-яких інших документів, укладення яких може передбачатися Кредитним Договором, Договором Поруки, листом про приєднання або вимагатися у зв’язку з їх укладенням (“Додаткові Документи”).</w:t>
            </w:r>
          </w:p>
          <w:p w14:paraId="5E0BE39D" w14:textId="77777777" w:rsidR="0039795A" w:rsidRPr="0073601E" w:rsidRDefault="0039795A" w:rsidP="00E04A6A">
            <w:pPr>
              <w:pStyle w:val="a9"/>
              <w:tabs>
                <w:tab w:val="left" w:pos="175"/>
              </w:tabs>
              <w:ind w:left="0" w:firstLine="34"/>
              <w:rPr>
                <w:rFonts w:ascii="PragmaticaCTT" w:hAnsi="PragmaticaCTT"/>
                <w:sz w:val="19"/>
                <w:szCs w:val="19"/>
              </w:rPr>
            </w:pPr>
          </w:p>
        </w:tc>
      </w:tr>
      <w:tr w:rsidR="0039795A" w:rsidRPr="0073601E" w14:paraId="427A268C" w14:textId="77777777" w:rsidTr="00E04A6A">
        <w:tc>
          <w:tcPr>
            <w:tcW w:w="532" w:type="dxa"/>
          </w:tcPr>
          <w:p w14:paraId="585240E4" w14:textId="77777777" w:rsidR="0039795A" w:rsidRPr="0073601E" w:rsidRDefault="0039795A" w:rsidP="0039795A">
            <w:pPr>
              <w:pStyle w:val="a9"/>
              <w:numPr>
                <w:ilvl w:val="0"/>
                <w:numId w:val="3"/>
              </w:numPr>
              <w:autoSpaceDE w:val="0"/>
              <w:ind w:left="0"/>
              <w:jc w:val="right"/>
              <w:rPr>
                <w:rFonts w:ascii="PragmaticaCTT" w:hAnsi="PragmaticaCTT" w:cs="Arial"/>
                <w:color w:val="000000" w:themeColor="text1"/>
                <w:sz w:val="19"/>
                <w:szCs w:val="19"/>
                <w:lang w:eastAsia="en-US"/>
              </w:rPr>
            </w:pPr>
          </w:p>
        </w:tc>
        <w:tc>
          <w:tcPr>
            <w:tcW w:w="3692" w:type="dxa"/>
            <w:shd w:val="clear" w:color="auto" w:fill="auto"/>
          </w:tcPr>
          <w:p w14:paraId="66905227" w14:textId="77777777" w:rsidR="0039795A" w:rsidRPr="0073601E" w:rsidRDefault="0039795A" w:rsidP="00E04A6A">
            <w:pPr>
              <w:shd w:val="clear" w:color="auto" w:fill="FFFFFF"/>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Надання повноважень на укладення та підписання від імені Товариства листа про приєднання.</w:t>
            </w:r>
          </w:p>
          <w:p w14:paraId="49AC8E84" w14:textId="77777777" w:rsidR="0039795A" w:rsidRPr="0073601E" w:rsidRDefault="0039795A" w:rsidP="00E04A6A">
            <w:pPr>
              <w:jc w:val="both"/>
              <w:rPr>
                <w:rFonts w:ascii="PragmaticaCTT" w:hAnsi="PragmaticaCTT" w:cs="Arial"/>
                <w:color w:val="000000" w:themeColor="text1"/>
                <w:sz w:val="19"/>
                <w:szCs w:val="19"/>
              </w:rPr>
            </w:pPr>
          </w:p>
          <w:p w14:paraId="7BE42A74" w14:textId="77777777" w:rsidR="0039795A" w:rsidRPr="0073601E" w:rsidRDefault="0039795A" w:rsidP="00E04A6A">
            <w:pPr>
              <w:jc w:val="both"/>
              <w:rPr>
                <w:rFonts w:ascii="PragmaticaCTT" w:hAnsi="PragmaticaCTT" w:cs="Arial"/>
                <w:color w:val="000000" w:themeColor="text1"/>
                <w:sz w:val="19"/>
                <w:szCs w:val="19"/>
              </w:rPr>
            </w:pPr>
          </w:p>
        </w:tc>
        <w:tc>
          <w:tcPr>
            <w:tcW w:w="6095" w:type="dxa"/>
            <w:shd w:val="clear" w:color="auto" w:fill="auto"/>
          </w:tcPr>
          <w:p w14:paraId="7B3D8F6F"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1. Уповноважити Директора Товариства на ведення переговорів, визначення та погодження остаточних умов на його розсуд, підписання від імені Товариства листа про приєднання до Кредитного Договору та Договору Поруки, підписання інших Додаткових Документів, згоду на які надано вище, та вчинення дій, спрямованих на їхнє виконання, а також на підписання будь-яких заяв, сертифікатів, засвідчень, повідомлень, листів, що можуть вимагатися Кредитним Договором та/або Договором Поруки (“Супровідні Документи”).</w:t>
            </w:r>
          </w:p>
          <w:p w14:paraId="03B499BA"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2. Уповноважити Директора Товариства, в разі необхідності, видати відповідну довіреність на підписання від імені Товариства листа про приєднання до Кредитного Договору та Договору Поруки, Додаткових Документів та Супровідних Документів, згоду на які надано вище.</w:t>
            </w:r>
          </w:p>
        </w:tc>
      </w:tr>
      <w:tr w:rsidR="0039795A" w:rsidRPr="0073601E" w14:paraId="2F1B011E" w14:textId="77777777" w:rsidTr="00E04A6A">
        <w:trPr>
          <w:trHeight w:val="637"/>
        </w:trPr>
        <w:tc>
          <w:tcPr>
            <w:tcW w:w="532" w:type="dxa"/>
          </w:tcPr>
          <w:p w14:paraId="6325A89E" w14:textId="77777777" w:rsidR="0039795A" w:rsidRPr="0073601E" w:rsidRDefault="0039795A" w:rsidP="0039795A">
            <w:pPr>
              <w:pStyle w:val="a9"/>
              <w:numPr>
                <w:ilvl w:val="0"/>
                <w:numId w:val="3"/>
              </w:numPr>
              <w:autoSpaceDE w:val="0"/>
              <w:ind w:left="0"/>
              <w:jc w:val="right"/>
              <w:rPr>
                <w:rFonts w:ascii="PragmaticaCTT" w:hAnsi="PragmaticaCTT" w:cs="Arial"/>
                <w:color w:val="000000" w:themeColor="text1"/>
                <w:sz w:val="19"/>
                <w:szCs w:val="19"/>
                <w:lang w:eastAsia="en-US"/>
              </w:rPr>
            </w:pPr>
          </w:p>
        </w:tc>
        <w:tc>
          <w:tcPr>
            <w:tcW w:w="3692" w:type="dxa"/>
            <w:shd w:val="clear" w:color="auto" w:fill="auto"/>
          </w:tcPr>
          <w:p w14:paraId="36C2947C"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Покладення функцій аудиторського комітету на Наглядову раду Товариства.</w:t>
            </w:r>
          </w:p>
        </w:tc>
        <w:tc>
          <w:tcPr>
            <w:tcW w:w="6095" w:type="dxa"/>
            <w:shd w:val="clear" w:color="auto" w:fill="auto"/>
          </w:tcPr>
          <w:p w14:paraId="61C71FC7"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cs="Arial"/>
                <w:color w:val="000000" w:themeColor="text1"/>
                <w:sz w:val="19"/>
                <w:szCs w:val="19"/>
              </w:rPr>
              <w:t>Покласти виконання функцій аудиторського комітету Товариства, які визначені Законом України «Про аудит фінансової звітності та аудиторську діяльність», на Наглядову раду Товариства.</w:t>
            </w:r>
          </w:p>
        </w:tc>
      </w:tr>
      <w:tr w:rsidR="0039795A" w:rsidRPr="0073601E" w14:paraId="47922004" w14:textId="77777777" w:rsidTr="00E04A6A">
        <w:trPr>
          <w:trHeight w:val="237"/>
        </w:trPr>
        <w:tc>
          <w:tcPr>
            <w:tcW w:w="532" w:type="dxa"/>
          </w:tcPr>
          <w:p w14:paraId="3A069DFC" w14:textId="77777777" w:rsidR="0039795A" w:rsidRPr="0073601E" w:rsidRDefault="0039795A" w:rsidP="0039795A">
            <w:pPr>
              <w:pStyle w:val="a9"/>
              <w:numPr>
                <w:ilvl w:val="0"/>
                <w:numId w:val="3"/>
              </w:numPr>
              <w:autoSpaceDE w:val="0"/>
              <w:ind w:left="0"/>
              <w:jc w:val="right"/>
              <w:rPr>
                <w:rFonts w:ascii="PragmaticaCTT" w:hAnsi="PragmaticaCTT" w:cs="Arial"/>
                <w:color w:val="000000" w:themeColor="text1"/>
                <w:sz w:val="19"/>
                <w:szCs w:val="19"/>
                <w:lang w:eastAsia="en-US"/>
              </w:rPr>
            </w:pPr>
          </w:p>
        </w:tc>
        <w:tc>
          <w:tcPr>
            <w:tcW w:w="3692" w:type="dxa"/>
            <w:shd w:val="clear" w:color="auto" w:fill="auto"/>
          </w:tcPr>
          <w:p w14:paraId="2AE7AE54"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bCs/>
                <w:iCs/>
                <w:sz w:val="19"/>
                <w:szCs w:val="19"/>
              </w:rPr>
              <w:t>Попереднє надання згоди на вчинення Товариством значних правочинів.</w:t>
            </w:r>
          </w:p>
        </w:tc>
        <w:tc>
          <w:tcPr>
            <w:tcW w:w="6095" w:type="dxa"/>
            <w:shd w:val="clear" w:color="auto" w:fill="auto"/>
          </w:tcPr>
          <w:p w14:paraId="1517A7EE" w14:textId="77777777" w:rsidR="0039795A" w:rsidRPr="0073601E" w:rsidRDefault="0039795A" w:rsidP="00E04A6A">
            <w:pPr>
              <w:jc w:val="both"/>
              <w:rPr>
                <w:rFonts w:ascii="PragmaticaCTT" w:hAnsi="PragmaticaCTT" w:cs="Arial"/>
                <w:color w:val="000000" w:themeColor="text1"/>
                <w:sz w:val="19"/>
                <w:szCs w:val="19"/>
              </w:rPr>
            </w:pPr>
            <w:r w:rsidRPr="0073601E">
              <w:rPr>
                <w:rFonts w:ascii="PragmaticaCTT" w:hAnsi="PragmaticaCTT"/>
                <w:bCs/>
                <w:iCs/>
                <w:sz w:val="19"/>
                <w:szCs w:val="19"/>
              </w:rPr>
              <w:t>Попередньо надати згоду на вчинення значних правочинів, які можуть вчинятися Товариством у строк до 17 серпня 2023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4BE30907" w14:textId="77777777" w:rsidR="0039795A" w:rsidRPr="009753FD" w:rsidRDefault="0039795A" w:rsidP="0039795A">
      <w:pPr>
        <w:shd w:val="clear" w:color="auto" w:fill="FFFFFF"/>
        <w:jc w:val="both"/>
        <w:rPr>
          <w:rFonts w:ascii="PragmaticaCTT" w:hAnsi="PragmaticaCTT" w:cs="Arial"/>
          <w:color w:val="000000" w:themeColor="text1"/>
          <w:sz w:val="20"/>
          <w:szCs w:val="20"/>
        </w:rPr>
      </w:pPr>
    </w:p>
    <w:p w14:paraId="5FDE27A2" w14:textId="77777777" w:rsidR="0039795A" w:rsidRDefault="0039795A" w:rsidP="0039795A">
      <w:pPr>
        <w:jc w:val="both"/>
        <w:rPr>
          <w:rFonts w:ascii="PragmaticaCTT" w:hAnsi="PragmaticaCTT" w:cs="Arial"/>
          <w:color w:val="000000" w:themeColor="text1"/>
          <w:sz w:val="20"/>
          <w:szCs w:val="20"/>
        </w:rPr>
      </w:pPr>
      <w:r w:rsidRPr="00493C03">
        <w:rPr>
          <w:rFonts w:ascii="PragmaticaCTT" w:hAnsi="PragmaticaCTT" w:cs="Arial"/>
          <w:color w:val="000000" w:themeColor="text1"/>
          <w:sz w:val="20"/>
          <w:szCs w:val="20"/>
        </w:rPr>
        <w:t xml:space="preserve">Адреса сторінки на вебсайті Товариства: </w:t>
      </w:r>
      <w:hyperlink r:id="rId8" w:history="1">
        <w:r w:rsidRPr="002E26D2">
          <w:rPr>
            <w:rStyle w:val="a7"/>
            <w:rFonts w:ascii="PragmaticaCTT" w:hAnsi="PragmaticaCTT" w:cs="Arial"/>
            <w:sz w:val="20"/>
            <w:szCs w:val="20"/>
          </w:rPr>
          <w:t>http://kirovogradoliya.pat.ua/documents/povidomlennya-pro-zbori</w:t>
        </w:r>
      </w:hyperlink>
      <w:r>
        <w:rPr>
          <w:rFonts w:ascii="PragmaticaCTT" w:hAnsi="PragmaticaCTT" w:cs="Arial"/>
          <w:color w:val="000000" w:themeColor="text1"/>
          <w:sz w:val="20"/>
          <w:szCs w:val="20"/>
        </w:rPr>
        <w:t xml:space="preserve"> </w:t>
      </w:r>
      <w:r w:rsidRPr="00493C03">
        <w:rPr>
          <w:rFonts w:ascii="PragmaticaCTT" w:hAnsi="PragmaticaCTT" w:cs="Arial"/>
          <w:color w:val="000000" w:themeColor="text1"/>
          <w:sz w:val="20"/>
          <w:szCs w:val="20"/>
        </w:rPr>
        <w:t xml:space="preserve">, на якій розміщена інформація з проєктами рішень щодо кожного з питань, включених до порядку денного Загальних зборів, повідомлення про проведення Загальних зборів, а також інформація, зазначена у пункті 44 Тимчасового порядку. </w:t>
      </w:r>
    </w:p>
    <w:p w14:paraId="68A366BD" w14:textId="77777777" w:rsidR="0039795A"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Pr>
          <w:rFonts w:ascii="PragmaticaCTT" w:hAnsi="PragmaticaCTT" w:cs="Arial"/>
          <w:color w:val="000000" w:themeColor="text1"/>
          <w:sz w:val="20"/>
          <w:szCs w:val="20"/>
          <w:lang w:eastAsia="ru-UA"/>
        </w:rPr>
        <w:t>Відповідно до</w:t>
      </w:r>
      <w:r w:rsidRPr="003E5787">
        <w:rPr>
          <w:rFonts w:ascii="PragmaticaCTT" w:hAnsi="PragmaticaCTT" w:cs="Arial"/>
          <w:color w:val="000000" w:themeColor="text1"/>
          <w:sz w:val="20"/>
          <w:szCs w:val="20"/>
          <w:lang w:eastAsia="ru-UA"/>
        </w:rPr>
        <w:t xml:space="preserve"> переліку акціонерів, яким надсилатиметься письмове повідомлення</w:t>
      </w:r>
      <w:r w:rsidRPr="00B115B7">
        <w:rPr>
          <w:rFonts w:ascii="PragmaticaCTT" w:hAnsi="PragmaticaCTT" w:cs="Arial"/>
          <w:color w:val="000000" w:themeColor="text1"/>
          <w:sz w:val="20"/>
          <w:szCs w:val="20"/>
          <w:lang w:eastAsia="ru-UA"/>
        </w:rPr>
        <w:t xml:space="preserve"> про проведення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зборів, загальна кількість акцій</w:t>
      </w:r>
      <w:r>
        <w:rPr>
          <w:rFonts w:ascii="PragmaticaCTT" w:hAnsi="PragmaticaCTT" w:cs="Arial"/>
          <w:color w:val="000000" w:themeColor="text1"/>
          <w:sz w:val="20"/>
          <w:szCs w:val="20"/>
          <w:lang w:eastAsia="ru-UA"/>
        </w:rPr>
        <w:t xml:space="preserve"> Товариства</w:t>
      </w:r>
      <w:r w:rsidRPr="00B115B7">
        <w:rPr>
          <w:rFonts w:ascii="PragmaticaCTT" w:hAnsi="PragmaticaCTT" w:cs="Arial"/>
          <w:color w:val="000000" w:themeColor="text1"/>
          <w:sz w:val="20"/>
          <w:szCs w:val="20"/>
          <w:lang w:eastAsia="ru-UA"/>
        </w:rPr>
        <w:t xml:space="preserve"> </w:t>
      </w:r>
      <w:r w:rsidRPr="005C4D76">
        <w:rPr>
          <w:rFonts w:ascii="PragmaticaCTT" w:hAnsi="PragmaticaCTT" w:cs="Arial"/>
          <w:color w:val="000000" w:themeColor="text1"/>
          <w:sz w:val="20"/>
          <w:szCs w:val="20"/>
          <w:lang w:eastAsia="ru-UA"/>
        </w:rPr>
        <w:t>становить 5 276 353 штук, з них голосуючих – 5 234 232 штук.</w:t>
      </w:r>
      <w:r w:rsidRPr="00B115B7">
        <w:rPr>
          <w:rFonts w:ascii="PragmaticaCTT" w:hAnsi="PragmaticaCTT" w:cs="Arial"/>
          <w:color w:val="000000" w:themeColor="text1"/>
          <w:sz w:val="20"/>
          <w:szCs w:val="20"/>
          <w:lang w:eastAsia="ru-UA"/>
        </w:rPr>
        <w:t xml:space="preserve"> </w:t>
      </w:r>
    </w:p>
    <w:p w14:paraId="5FA94849" w14:textId="77777777" w:rsidR="0039795A"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rPr>
      </w:pPr>
      <w:r>
        <w:rPr>
          <w:rFonts w:ascii="PragmaticaCTT" w:hAnsi="PragmaticaCTT" w:cs="Arial"/>
          <w:color w:val="000000" w:themeColor="text1"/>
          <w:sz w:val="20"/>
          <w:szCs w:val="20"/>
          <w:lang w:eastAsia="ru-UA"/>
        </w:rPr>
        <w:t>Д</w:t>
      </w:r>
      <w:r w:rsidRPr="00AD46EF">
        <w:rPr>
          <w:rFonts w:ascii="PragmaticaCTT" w:hAnsi="PragmaticaCTT" w:cs="Arial"/>
          <w:color w:val="000000" w:themeColor="text1"/>
          <w:sz w:val="20"/>
          <w:szCs w:val="20"/>
          <w:lang w:eastAsia="ru-UA"/>
        </w:rPr>
        <w:t>иректор Товариства – Братуняк Олег Федорович</w:t>
      </w:r>
      <w:r w:rsidRPr="00B115B7">
        <w:rPr>
          <w:rFonts w:ascii="PragmaticaCTT" w:hAnsi="PragmaticaCTT" w:cs="Arial"/>
          <w:color w:val="000000" w:themeColor="text1"/>
          <w:sz w:val="20"/>
          <w:szCs w:val="20"/>
          <w:lang w:eastAsia="ru-UA"/>
        </w:rPr>
        <w:t xml:space="preserve"> є особою, відповідальною за порядок ознайомлення акціонерів з документами й матеріалами, з якими вони можуть ознайомитися під час підготовки до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зборів, контактний номер телефону вищевказаної відповідальної особи: (</w:t>
      </w:r>
      <w:r>
        <w:rPr>
          <w:rFonts w:ascii="PragmaticaCTT" w:hAnsi="PragmaticaCTT" w:cs="Arial"/>
          <w:color w:val="000000" w:themeColor="text1"/>
          <w:sz w:val="20"/>
          <w:szCs w:val="20"/>
          <w:lang w:eastAsia="ru-UA"/>
        </w:rPr>
        <w:t>0522) 390122</w:t>
      </w:r>
      <w:r w:rsidRPr="00B115B7">
        <w:rPr>
          <w:rFonts w:ascii="PragmaticaCTT" w:hAnsi="PragmaticaCTT" w:cs="Arial"/>
          <w:color w:val="000000" w:themeColor="text1"/>
          <w:sz w:val="20"/>
          <w:szCs w:val="20"/>
          <w:lang w:eastAsia="ru-UA"/>
        </w:rPr>
        <w:t>.</w:t>
      </w:r>
      <w:r w:rsidRPr="00101A17">
        <w:rPr>
          <w:rFonts w:ascii="PragmaticaCTT" w:hAnsi="PragmaticaCTT" w:cs="Arial"/>
          <w:color w:val="000000" w:themeColor="text1"/>
          <w:sz w:val="20"/>
          <w:szCs w:val="20"/>
        </w:rPr>
        <w:t xml:space="preserve"> </w:t>
      </w:r>
    </w:p>
    <w:p w14:paraId="7C46FA5F"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Після отримання повідомлення про проведення </w:t>
      </w:r>
      <w:r>
        <w:rPr>
          <w:rFonts w:ascii="PragmaticaCTT" w:hAnsi="PragmaticaCTT" w:cs="Arial"/>
          <w:color w:val="000000" w:themeColor="text1"/>
          <w:sz w:val="20"/>
          <w:szCs w:val="20"/>
          <w:lang w:eastAsia="ru-UA"/>
        </w:rPr>
        <w:t>Загальних зборів</w:t>
      </w:r>
      <w:r w:rsidRPr="00B115B7">
        <w:rPr>
          <w:rFonts w:ascii="PragmaticaCTT" w:hAnsi="PragmaticaCTT" w:cs="Arial"/>
          <w:color w:val="000000" w:themeColor="text1"/>
          <w:sz w:val="20"/>
          <w:szCs w:val="20"/>
          <w:lang w:eastAsia="ru-UA"/>
        </w:rPr>
        <w:t xml:space="preserve"> </w:t>
      </w:r>
      <w:r>
        <w:rPr>
          <w:rFonts w:ascii="PragmaticaCTT" w:hAnsi="PragmaticaCTT" w:cs="Arial"/>
          <w:color w:val="000000" w:themeColor="text1"/>
          <w:sz w:val="20"/>
          <w:szCs w:val="20"/>
          <w:lang w:eastAsia="ru-UA"/>
        </w:rPr>
        <w:t>к</w:t>
      </w:r>
      <w:r w:rsidRPr="00B115B7">
        <w:rPr>
          <w:rFonts w:ascii="PragmaticaCTT" w:hAnsi="PragmaticaCTT" w:cs="Arial"/>
          <w:color w:val="000000" w:themeColor="text1"/>
          <w:sz w:val="20"/>
          <w:szCs w:val="20"/>
          <w:lang w:eastAsia="ru-UA"/>
        </w:rPr>
        <w:t>ож</w:t>
      </w:r>
      <w:r>
        <w:rPr>
          <w:rFonts w:ascii="PragmaticaCTT" w:hAnsi="PragmaticaCTT" w:cs="Arial"/>
          <w:color w:val="000000" w:themeColor="text1"/>
          <w:sz w:val="20"/>
          <w:szCs w:val="20"/>
          <w:lang w:eastAsia="ru-UA"/>
        </w:rPr>
        <w:t>н</w:t>
      </w:r>
      <w:r>
        <w:rPr>
          <w:rFonts w:ascii="PragmaticaCTT" w:hAnsi="PragmaticaCTT" w:cs="Arial"/>
          <w:color w:val="000000" w:themeColor="text1"/>
          <w:sz w:val="20"/>
          <w:szCs w:val="20"/>
          <w:lang w:val="uk-UA" w:eastAsia="ru-UA"/>
        </w:rPr>
        <w:t>ен</w:t>
      </w:r>
      <w:r w:rsidRPr="00B115B7">
        <w:rPr>
          <w:rFonts w:ascii="PragmaticaCTT" w:hAnsi="PragmaticaCTT" w:cs="Arial"/>
          <w:color w:val="000000" w:themeColor="text1"/>
          <w:sz w:val="20"/>
          <w:szCs w:val="20"/>
          <w:lang w:eastAsia="ru-UA"/>
        </w:rPr>
        <w:t xml:space="preserve"> акціонер</w:t>
      </w:r>
      <w:r>
        <w:rPr>
          <w:rFonts w:ascii="PragmaticaCTT" w:hAnsi="PragmaticaCTT" w:cs="Arial"/>
          <w:color w:val="000000" w:themeColor="text1"/>
          <w:sz w:val="20"/>
          <w:szCs w:val="20"/>
          <w:lang w:eastAsia="ru-UA"/>
        </w:rPr>
        <w:t xml:space="preserve"> ПРАТ “Кропивницький ОЕЗ”</w:t>
      </w:r>
      <w:r w:rsidRPr="00B115B7">
        <w:rPr>
          <w:rFonts w:ascii="PragmaticaCTT" w:hAnsi="PragmaticaCTT" w:cs="Arial"/>
          <w:color w:val="000000" w:themeColor="text1"/>
          <w:sz w:val="20"/>
          <w:szCs w:val="20"/>
          <w:lang w:eastAsia="ru-UA"/>
        </w:rPr>
        <w:t xml:space="preserve"> може ознайомитись з матеріалами з питань порядку денного дистанційних</w:t>
      </w:r>
      <w:r>
        <w:rPr>
          <w:rFonts w:ascii="PragmaticaCTT" w:hAnsi="PragmaticaCTT" w:cs="Arial"/>
          <w:color w:val="000000" w:themeColor="text1"/>
          <w:sz w:val="20"/>
          <w:szCs w:val="20"/>
          <w:lang w:eastAsia="ru-UA"/>
        </w:rPr>
        <w:t xml:space="preserve"> </w:t>
      </w:r>
      <w:r w:rsidRPr="00B115B7">
        <w:rPr>
          <w:rFonts w:ascii="PragmaticaCTT" w:hAnsi="PragmaticaCTT" w:cs="Arial"/>
          <w:color w:val="000000" w:themeColor="text1"/>
          <w:sz w:val="20"/>
          <w:szCs w:val="20"/>
          <w:lang w:eastAsia="ru-UA"/>
        </w:rPr>
        <w:t>Загальних зборів акціонерів</w:t>
      </w:r>
      <w:r>
        <w:rPr>
          <w:rFonts w:ascii="PragmaticaCTT" w:hAnsi="PragmaticaCTT" w:cs="Arial"/>
          <w:color w:val="000000" w:themeColor="text1"/>
          <w:sz w:val="20"/>
          <w:szCs w:val="20"/>
          <w:lang w:eastAsia="ru-UA"/>
        </w:rPr>
        <w:t xml:space="preserve"> ПРАТ “Кропивницький ОЕЗ”</w:t>
      </w:r>
      <w:r w:rsidRPr="00B115B7">
        <w:rPr>
          <w:rFonts w:ascii="PragmaticaCTT" w:hAnsi="PragmaticaCTT" w:cs="Arial"/>
          <w:color w:val="000000" w:themeColor="text1"/>
          <w:sz w:val="20"/>
          <w:szCs w:val="20"/>
          <w:lang w:eastAsia="ru-UA"/>
        </w:rPr>
        <w:t xml:space="preserve"> та документами, необхідними для прийняття рішень з питань порядку денного </w:t>
      </w:r>
      <w:r>
        <w:rPr>
          <w:rFonts w:ascii="PragmaticaCTT" w:hAnsi="PragmaticaCTT" w:cs="Arial"/>
          <w:color w:val="000000" w:themeColor="text1"/>
          <w:sz w:val="20"/>
          <w:szCs w:val="20"/>
          <w:lang w:eastAsia="ru-UA"/>
        </w:rPr>
        <w:t>Загальних зборів</w:t>
      </w:r>
      <w:r w:rsidRPr="00B115B7">
        <w:rPr>
          <w:rFonts w:ascii="PragmaticaCTT" w:hAnsi="PragmaticaCTT" w:cs="Arial"/>
          <w:color w:val="000000" w:themeColor="text1"/>
          <w:sz w:val="20"/>
          <w:szCs w:val="20"/>
          <w:lang w:eastAsia="ru-UA"/>
        </w:rPr>
        <w:t xml:space="preserve"> з моменту отримання даного повідомлення і до дати проведення Загальних зборів </w:t>
      </w:r>
      <w:r>
        <w:rPr>
          <w:rFonts w:ascii="PragmaticaCTT" w:hAnsi="PragmaticaCTT" w:cs="Arial"/>
          <w:color w:val="000000" w:themeColor="text1"/>
          <w:sz w:val="20"/>
          <w:szCs w:val="20"/>
          <w:lang w:eastAsia="ru-UA"/>
        </w:rPr>
        <w:t xml:space="preserve">двома </w:t>
      </w:r>
      <w:r w:rsidRPr="00B115B7">
        <w:rPr>
          <w:rFonts w:ascii="PragmaticaCTT" w:hAnsi="PragmaticaCTT" w:cs="Arial"/>
          <w:color w:val="000000" w:themeColor="text1"/>
          <w:sz w:val="20"/>
          <w:szCs w:val="20"/>
          <w:lang w:eastAsia="ru-UA"/>
        </w:rPr>
        <w:t>способами: особисто або дистанційно.</w:t>
      </w:r>
    </w:p>
    <w:p w14:paraId="4A001741" w14:textId="77777777" w:rsidR="0039795A" w:rsidRPr="007C74FD"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lastRenderedPageBreak/>
        <w:t xml:space="preserve">Особисто </w:t>
      </w:r>
      <w:r>
        <w:rPr>
          <w:rFonts w:ascii="PragmaticaCTT" w:hAnsi="PragmaticaCTT" w:cs="Arial"/>
          <w:color w:val="000000" w:themeColor="text1"/>
          <w:sz w:val="20"/>
          <w:szCs w:val="20"/>
          <w:lang w:eastAsia="ru-UA"/>
        </w:rPr>
        <w:t>кожен акціонер</w:t>
      </w:r>
      <w:r w:rsidRPr="00B115B7">
        <w:rPr>
          <w:rFonts w:ascii="PragmaticaCTT" w:hAnsi="PragmaticaCTT" w:cs="Arial"/>
          <w:color w:val="000000" w:themeColor="text1"/>
          <w:sz w:val="20"/>
          <w:szCs w:val="20"/>
          <w:lang w:eastAsia="ru-UA"/>
        </w:rPr>
        <w:t xml:space="preserve"> може ознайомитись у робочі дні з </w:t>
      </w:r>
      <w:r w:rsidRPr="007C74FD">
        <w:rPr>
          <w:rFonts w:ascii="PragmaticaCTT" w:hAnsi="PragmaticaCTT" w:cs="Arial"/>
          <w:color w:val="000000" w:themeColor="text1"/>
          <w:sz w:val="20"/>
          <w:szCs w:val="20"/>
          <w:lang w:eastAsia="ru-UA"/>
        </w:rPr>
        <w:t>10</w:t>
      </w:r>
      <w:r w:rsidRPr="00B115B7">
        <w:rPr>
          <w:rFonts w:ascii="PragmaticaCTT" w:hAnsi="PragmaticaCTT" w:cs="Arial"/>
          <w:color w:val="000000" w:themeColor="text1"/>
          <w:sz w:val="20"/>
          <w:szCs w:val="20"/>
          <w:lang w:eastAsia="ru-UA"/>
        </w:rPr>
        <w:t xml:space="preserve">-00 до 16-00 год. за адресою: </w:t>
      </w:r>
      <w:r w:rsidRPr="007C74FD">
        <w:rPr>
          <w:rFonts w:ascii="PragmaticaCTT" w:hAnsi="PragmaticaCTT" w:cs="Arial"/>
          <w:color w:val="000000" w:themeColor="text1"/>
          <w:sz w:val="20"/>
          <w:szCs w:val="20"/>
          <w:lang w:eastAsia="ru-UA"/>
        </w:rPr>
        <w:t>вул. Урожайна, буд. 30, (адміністративна будівля, кімната №1) м. Кропивницький.</w:t>
      </w:r>
    </w:p>
    <w:p w14:paraId="0089057D" w14:textId="77777777" w:rsidR="0039795A"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Pr>
          <w:rFonts w:ascii="PragmaticaCTT" w:hAnsi="PragmaticaCTT" w:cs="Arial"/>
          <w:color w:val="000000" w:themeColor="text1"/>
          <w:sz w:val="20"/>
          <w:szCs w:val="20"/>
          <w:lang w:eastAsia="ru-UA"/>
        </w:rPr>
        <w:t xml:space="preserve">Для </w:t>
      </w:r>
      <w:r w:rsidRPr="006208B6">
        <w:rPr>
          <w:rFonts w:ascii="PragmaticaCTT" w:hAnsi="PragmaticaCTT" w:cs="Arial"/>
          <w:color w:val="000000" w:themeColor="text1"/>
          <w:sz w:val="20"/>
          <w:szCs w:val="20"/>
          <w:lang w:eastAsia="ru-UA"/>
        </w:rPr>
        <w:t xml:space="preserve">дистанційного ознайомлення з матеріалами під час підготовки до Загальних зборів, які будуть проведені дистанційно </w:t>
      </w:r>
      <w:r w:rsidRPr="006208B6">
        <w:rPr>
          <w:rFonts w:ascii="PragmaticaCTT" w:hAnsi="PragmaticaCTT" w:cs="Arial"/>
          <w:sz w:val="20"/>
          <w:szCs w:val="20"/>
          <w:lang w:eastAsia="ru-UA"/>
        </w:rPr>
        <w:t xml:space="preserve">18 серпня 2022 року, </w:t>
      </w:r>
      <w:r w:rsidRPr="006208B6">
        <w:rPr>
          <w:rFonts w:ascii="PragmaticaCTT" w:hAnsi="PragmaticaCTT" w:cs="Arial"/>
          <w:color w:val="000000" w:themeColor="text1"/>
          <w:sz w:val="20"/>
          <w:szCs w:val="20"/>
          <w:lang w:eastAsia="ru-UA"/>
        </w:rPr>
        <w:t xml:space="preserve">акціонери можуть направляти запити щодо документів </w:t>
      </w:r>
      <w:r w:rsidRPr="006208B6">
        <w:rPr>
          <w:rFonts w:ascii="PragmaticaCTT" w:hAnsi="PragmaticaCTT" w:cs="Arial"/>
          <w:sz w:val="20"/>
          <w:szCs w:val="20"/>
          <w:lang w:eastAsia="ru-UA"/>
        </w:rPr>
        <w:t>та запитання</w:t>
      </w:r>
      <w:r w:rsidRPr="006208B6">
        <w:rPr>
          <w:rFonts w:ascii="PragmaticaCTT" w:hAnsi="PragmaticaCTT" w:cs="Arial"/>
          <w:color w:val="000000" w:themeColor="text1"/>
          <w:sz w:val="20"/>
          <w:szCs w:val="20"/>
          <w:lang w:eastAsia="ru-UA"/>
        </w:rPr>
        <w:t xml:space="preserve"> щодо порядку денного Загальних зборів на адресу електронної пошти </w:t>
      </w:r>
      <w:hyperlink r:id="rId9" w:history="1">
        <w:r w:rsidRPr="006208B6">
          <w:rPr>
            <w:rStyle w:val="a7"/>
            <w:rFonts w:ascii="PragmaticaCTT" w:hAnsi="PragmaticaCTT" w:cs="Arial"/>
            <w:sz w:val="20"/>
            <w:szCs w:val="20"/>
          </w:rPr>
          <w:t>r.uschapovsky@kernel.ua</w:t>
        </w:r>
      </w:hyperlink>
      <w:r w:rsidRPr="006208B6">
        <w:rPr>
          <w:rFonts w:ascii="PragmaticaCTT" w:hAnsi="PragmaticaCTT" w:cs="Arial"/>
          <w:color w:val="000000" w:themeColor="text1"/>
          <w:sz w:val="20"/>
          <w:szCs w:val="20"/>
          <w:lang w:eastAsia="ru-UA"/>
        </w:rPr>
        <w:t>. Запити акціонерів на дистанційне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w:t>
      </w:r>
      <w:r w:rsidRPr="00B115B7">
        <w:rPr>
          <w:rFonts w:ascii="PragmaticaCTT" w:hAnsi="PragmaticaCTT" w:cs="Arial"/>
          <w:color w:val="000000" w:themeColor="text1"/>
          <w:sz w:val="20"/>
          <w:szCs w:val="20"/>
          <w:lang w:eastAsia="ru-UA"/>
        </w:rPr>
        <w:t xml:space="preserve"> засобом, що забезпечує ідентифікацію та підтвердження направлення документу особою)</w:t>
      </w:r>
      <w:r>
        <w:rPr>
          <w:rFonts w:ascii="PragmaticaCTT" w:hAnsi="PragmaticaCTT" w:cs="Arial"/>
          <w:color w:val="000000" w:themeColor="text1"/>
          <w:sz w:val="20"/>
          <w:szCs w:val="20"/>
          <w:lang w:eastAsia="ru-UA"/>
        </w:rPr>
        <w:t>.</w:t>
      </w:r>
    </w:p>
    <w:p w14:paraId="23A43CF7" w14:textId="77777777" w:rsidR="0039795A"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w:t>
      </w:r>
      <w:r>
        <w:rPr>
          <w:rFonts w:ascii="PragmaticaCTT" w:hAnsi="PragmaticaCTT" w:cs="Arial"/>
          <w:color w:val="000000" w:themeColor="text1"/>
          <w:sz w:val="20"/>
          <w:szCs w:val="20"/>
          <w:lang w:eastAsia="ru-UA"/>
        </w:rPr>
        <w:t>відповіді на запитання та</w:t>
      </w:r>
      <w:r w:rsidRPr="00B115B7">
        <w:rPr>
          <w:rFonts w:ascii="PragmaticaCTT" w:hAnsi="PragmaticaCTT" w:cs="Arial"/>
          <w:color w:val="000000" w:themeColor="text1"/>
          <w:sz w:val="20"/>
          <w:szCs w:val="20"/>
          <w:lang w:eastAsia="ru-UA"/>
        </w:rPr>
        <w:t xml:space="preserve"> документи</w:t>
      </w:r>
      <w:r>
        <w:rPr>
          <w:rFonts w:ascii="PragmaticaCTT" w:hAnsi="PragmaticaCTT" w:cs="Arial"/>
          <w:color w:val="000000" w:themeColor="text1"/>
          <w:sz w:val="20"/>
          <w:szCs w:val="20"/>
          <w:lang w:eastAsia="ru-UA"/>
        </w:rPr>
        <w:t>, які запитує акціонер,</w:t>
      </w:r>
      <w:r w:rsidRPr="00B115B7">
        <w:rPr>
          <w:rFonts w:ascii="PragmaticaCTT" w:hAnsi="PragmaticaCTT" w:cs="Arial"/>
          <w:color w:val="000000" w:themeColor="text1"/>
          <w:sz w:val="20"/>
          <w:szCs w:val="20"/>
          <w:lang w:eastAsia="ru-UA"/>
        </w:rPr>
        <w:t xml:space="preserve"> на адресу електронної пошти акціонера, з якої направлено запит із засвідченням документів кваліфіковани</w:t>
      </w:r>
      <w:r>
        <w:rPr>
          <w:rFonts w:ascii="PragmaticaCTT" w:hAnsi="PragmaticaCTT" w:cs="Arial"/>
          <w:color w:val="000000" w:themeColor="text1"/>
          <w:sz w:val="20"/>
          <w:szCs w:val="20"/>
          <w:lang w:eastAsia="ru-UA"/>
        </w:rPr>
        <w:t>м</w:t>
      </w:r>
      <w:r w:rsidRPr="00B115B7">
        <w:rPr>
          <w:rFonts w:ascii="PragmaticaCTT" w:hAnsi="PragmaticaCTT" w:cs="Arial"/>
          <w:color w:val="000000" w:themeColor="text1"/>
          <w:sz w:val="20"/>
          <w:szCs w:val="20"/>
          <w:lang w:eastAsia="ru-UA"/>
        </w:rPr>
        <w:t xml:space="preserve"> електронним підписом.</w:t>
      </w:r>
      <w:r>
        <w:rPr>
          <w:rFonts w:ascii="PragmaticaCTT" w:hAnsi="PragmaticaCTT" w:cs="Arial"/>
          <w:color w:val="000000" w:themeColor="text1"/>
          <w:sz w:val="20"/>
          <w:szCs w:val="20"/>
          <w:lang w:eastAsia="ru-UA"/>
        </w:rPr>
        <w:t xml:space="preserve"> </w:t>
      </w:r>
    </w:p>
    <w:p w14:paraId="6EC39E2E" w14:textId="77777777" w:rsidR="0039795A" w:rsidRPr="00CB101E" w:rsidRDefault="0039795A" w:rsidP="0039795A">
      <w:pPr>
        <w:jc w:val="both"/>
        <w:rPr>
          <w:rFonts w:ascii="PragmaticaCTT" w:hAnsi="PragmaticaCTT" w:cs="Arial"/>
          <w:color w:val="000000" w:themeColor="text1"/>
          <w:sz w:val="20"/>
          <w:szCs w:val="20"/>
          <w:lang w:eastAsia="ru-UA"/>
        </w:rPr>
      </w:pPr>
      <w:r w:rsidRPr="00CB101E">
        <w:rPr>
          <w:rFonts w:ascii="PragmaticaCTT" w:hAnsi="PragmaticaCTT" w:cs="Arial"/>
          <w:color w:val="000000" w:themeColor="text1"/>
          <w:sz w:val="20"/>
          <w:szCs w:val="20"/>
          <w:lang w:eastAsia="ru-UA"/>
        </w:rPr>
        <w:t>Загальні збори Товариства скликаються за скороченою процедурою відповідно</w:t>
      </w:r>
      <w:r>
        <w:rPr>
          <w:rFonts w:ascii="PragmaticaCTT" w:hAnsi="PragmaticaCTT" w:cs="Arial"/>
          <w:color w:val="000000" w:themeColor="text1"/>
          <w:sz w:val="20"/>
          <w:szCs w:val="20"/>
          <w:lang w:val="uk-UA" w:eastAsia="ru-UA"/>
        </w:rPr>
        <w:t xml:space="preserve"> до</w:t>
      </w:r>
      <w:r w:rsidRPr="00CB101E">
        <w:rPr>
          <w:rFonts w:ascii="PragmaticaCTT" w:hAnsi="PragmaticaCTT" w:cs="Arial"/>
          <w:color w:val="000000" w:themeColor="text1"/>
          <w:sz w:val="20"/>
          <w:szCs w:val="20"/>
          <w:lang w:eastAsia="ru-UA"/>
        </w:rPr>
        <w:t xml:space="preserve"> розділу VIII Тимчасового порядку</w:t>
      </w:r>
      <w:r>
        <w:rPr>
          <w:rFonts w:ascii="PragmaticaCTT" w:hAnsi="PragmaticaCTT" w:cs="Arial"/>
          <w:color w:val="000000" w:themeColor="text1"/>
          <w:sz w:val="20"/>
          <w:szCs w:val="20"/>
          <w:lang w:val="uk-UA" w:eastAsia="ru-UA"/>
        </w:rPr>
        <w:t xml:space="preserve"> та</w:t>
      </w:r>
      <w:r w:rsidRPr="00110B2A">
        <w:rPr>
          <w:rFonts w:ascii="PragmaticaCTT" w:hAnsi="PragmaticaCTT" w:cs="Arial"/>
          <w:color w:val="000000" w:themeColor="text1"/>
          <w:sz w:val="20"/>
          <w:szCs w:val="20"/>
          <w:lang w:eastAsia="ru-UA"/>
        </w:rPr>
        <w:t xml:space="preserve"> </w:t>
      </w:r>
      <w:r w:rsidRPr="00CB101E">
        <w:rPr>
          <w:rFonts w:ascii="PragmaticaCTT" w:hAnsi="PragmaticaCTT" w:cs="Arial"/>
          <w:color w:val="000000" w:themeColor="text1"/>
          <w:sz w:val="20"/>
          <w:szCs w:val="20"/>
          <w:lang w:eastAsia="ru-UA"/>
        </w:rPr>
        <w:t xml:space="preserve">частини 5 ст. 47 Закону України «Про акціонерні товариства» та, тому акціонери не мають можливості вносити пропозиції щодо питань, включених до порядку денного Загальних зборів. </w:t>
      </w:r>
    </w:p>
    <w:p w14:paraId="619836DE" w14:textId="77777777" w:rsidR="0039795A" w:rsidRPr="001D2515"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1D2515">
        <w:rPr>
          <w:rFonts w:ascii="PragmaticaCTT" w:hAnsi="PragmaticaCTT" w:cs="Arial"/>
          <w:color w:val="000000" w:themeColor="text1"/>
          <w:sz w:val="20"/>
          <w:szCs w:val="20"/>
          <w:lang w:eastAsia="ru-UA"/>
        </w:rPr>
        <w:t xml:space="preserve">Кожен акціонер - власник голосуючих акцій має право реалізувати своє право на управління ПРАТ “Кропивницький ОЕЗ” шляхом участі у Загальних зборах та голосування </w:t>
      </w:r>
      <w:r>
        <w:rPr>
          <w:rFonts w:ascii="PragmaticaCTT" w:hAnsi="PragmaticaCTT" w:cs="Arial"/>
          <w:color w:val="000000" w:themeColor="text1"/>
          <w:sz w:val="20"/>
          <w:szCs w:val="20"/>
          <w:lang w:eastAsia="ru-UA"/>
        </w:rPr>
        <w:t>через</w:t>
      </w:r>
      <w:r w:rsidRPr="001D2515">
        <w:rPr>
          <w:rFonts w:ascii="PragmaticaCTT" w:hAnsi="PragmaticaCTT" w:cs="Arial"/>
          <w:color w:val="000000" w:themeColor="text1"/>
          <w:sz w:val="20"/>
          <w:szCs w:val="20"/>
          <w:lang w:eastAsia="ru-UA"/>
        </w:rPr>
        <w:t xml:space="preserve"> подання бюлетен</w:t>
      </w:r>
      <w:r>
        <w:rPr>
          <w:rFonts w:ascii="PragmaticaCTT" w:hAnsi="PragmaticaCTT" w:cs="Arial"/>
          <w:color w:val="000000" w:themeColor="text1"/>
          <w:sz w:val="20"/>
          <w:szCs w:val="20"/>
          <w:lang w:eastAsia="ru-UA"/>
        </w:rPr>
        <w:t xml:space="preserve">ів </w:t>
      </w:r>
      <w:r w:rsidRPr="001D2515">
        <w:rPr>
          <w:rFonts w:ascii="PragmaticaCTT" w:hAnsi="PragmaticaCTT" w:cs="Arial"/>
          <w:color w:val="000000" w:themeColor="text1"/>
          <w:sz w:val="20"/>
          <w:szCs w:val="20"/>
          <w:lang w:eastAsia="ru-UA"/>
        </w:rPr>
        <w:t xml:space="preserve">депозитарній установі, яка обслуговує рахунок в цінних паперах такого акціонера, на якому обліковуються належні акціонеру акції ПРАТ “Кропивницький ОЕЗ” на дату складення переліку акціонерів, які мають право на участь у Загальних зборах. </w:t>
      </w:r>
    </w:p>
    <w:p w14:paraId="277DD750" w14:textId="77777777" w:rsidR="0039795A"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1D2515">
        <w:rPr>
          <w:rFonts w:ascii="PragmaticaCTT" w:hAnsi="PragmaticaCTT" w:cs="Arial"/>
          <w:color w:val="000000" w:themeColor="text1"/>
          <w:sz w:val="20"/>
          <w:szCs w:val="20"/>
          <w:lang w:eastAsia="ru-UA"/>
        </w:rPr>
        <w:t>Голосування на Загальних зборах розпочинається з моменту розміщення</w:t>
      </w:r>
      <w:r>
        <w:rPr>
          <w:rFonts w:ascii="PragmaticaCTT" w:hAnsi="PragmaticaCTT" w:cs="Arial"/>
          <w:color w:val="000000" w:themeColor="text1"/>
          <w:sz w:val="20"/>
          <w:szCs w:val="20"/>
          <w:lang w:eastAsia="ru-UA"/>
        </w:rPr>
        <w:t xml:space="preserve"> на сторінці</w:t>
      </w:r>
      <w:r w:rsidRPr="001D2515">
        <w:rPr>
          <w:rFonts w:ascii="PragmaticaCTT" w:hAnsi="PragmaticaCTT" w:cs="Arial"/>
          <w:color w:val="000000" w:themeColor="text1"/>
          <w:sz w:val="20"/>
          <w:szCs w:val="20"/>
          <w:lang w:eastAsia="ru-UA"/>
        </w:rPr>
        <w:t xml:space="preserve"> вебсайт</w:t>
      </w:r>
      <w:r>
        <w:rPr>
          <w:rFonts w:ascii="PragmaticaCTT" w:hAnsi="PragmaticaCTT" w:cs="Arial"/>
          <w:color w:val="000000" w:themeColor="text1"/>
          <w:sz w:val="20"/>
          <w:szCs w:val="20"/>
          <w:lang w:eastAsia="ru-UA"/>
        </w:rPr>
        <w:t>у</w:t>
      </w:r>
      <w:r w:rsidRPr="001D2515">
        <w:rPr>
          <w:rFonts w:ascii="PragmaticaCTT" w:hAnsi="PragmaticaCTT" w:cs="Arial"/>
          <w:color w:val="000000" w:themeColor="text1"/>
          <w:sz w:val="20"/>
          <w:szCs w:val="20"/>
          <w:lang w:eastAsia="ru-UA"/>
        </w:rPr>
        <w:t xml:space="preserve"> Товариства </w:t>
      </w:r>
      <w:hyperlink r:id="rId10" w:history="1">
        <w:r w:rsidRPr="002E26D2">
          <w:rPr>
            <w:rStyle w:val="a7"/>
          </w:rPr>
          <w:t>http://kirovogradoliya.pat.ua/documents/infoinshe</w:t>
        </w:r>
      </w:hyperlink>
      <w:r w:rsidRPr="001D2515">
        <w:rPr>
          <w:rFonts w:ascii="PragmaticaCTT" w:hAnsi="PragmaticaCTT" w:cs="Arial"/>
          <w:color w:val="000000" w:themeColor="text1"/>
          <w:sz w:val="20"/>
          <w:szCs w:val="20"/>
          <w:lang w:eastAsia="ru-UA"/>
        </w:rPr>
        <w:t xml:space="preserve"> бюлетеня для голосування, а саме</w:t>
      </w:r>
      <w:r>
        <w:rPr>
          <w:rFonts w:ascii="PragmaticaCTT" w:hAnsi="PragmaticaCTT" w:cs="Arial"/>
          <w:color w:val="000000" w:themeColor="text1"/>
          <w:sz w:val="20"/>
          <w:szCs w:val="20"/>
          <w:lang w:eastAsia="ru-UA"/>
        </w:rPr>
        <w:t>:</w:t>
      </w:r>
      <w:r w:rsidRPr="001D2515">
        <w:rPr>
          <w:rFonts w:ascii="PragmaticaCTT" w:hAnsi="PragmaticaCTT" w:cs="Arial"/>
          <w:color w:val="000000" w:themeColor="text1"/>
          <w:sz w:val="20"/>
          <w:szCs w:val="20"/>
          <w:lang w:eastAsia="ru-UA"/>
        </w:rPr>
        <w:t xml:space="preserve"> з</w:t>
      </w:r>
      <w:r>
        <w:rPr>
          <w:rFonts w:ascii="PragmaticaCTT" w:hAnsi="PragmaticaCTT" w:cs="Arial"/>
          <w:color w:val="000000" w:themeColor="text1"/>
          <w:sz w:val="20"/>
          <w:szCs w:val="20"/>
          <w:lang w:eastAsia="ru-UA"/>
        </w:rPr>
        <w:t xml:space="preserve"> 9-00 години</w:t>
      </w:r>
      <w:r w:rsidRPr="001D2515">
        <w:rPr>
          <w:rFonts w:ascii="PragmaticaCTT" w:hAnsi="PragmaticaCTT" w:cs="Arial"/>
          <w:color w:val="000000" w:themeColor="text1"/>
          <w:sz w:val="20"/>
          <w:szCs w:val="20"/>
          <w:lang w:eastAsia="ru-UA"/>
        </w:rPr>
        <w:t xml:space="preserve"> </w:t>
      </w:r>
      <w:r>
        <w:rPr>
          <w:rFonts w:ascii="PragmaticaCTT" w:hAnsi="PragmaticaCTT" w:cs="Arial"/>
          <w:color w:val="000000" w:themeColor="text1"/>
          <w:sz w:val="20"/>
          <w:szCs w:val="20"/>
          <w:lang w:eastAsia="ru-UA"/>
        </w:rPr>
        <w:t>7</w:t>
      </w:r>
      <w:r w:rsidRPr="001D2515">
        <w:rPr>
          <w:rFonts w:ascii="PragmaticaCTT" w:hAnsi="PragmaticaCTT" w:cs="Arial"/>
          <w:color w:val="000000" w:themeColor="text1"/>
          <w:sz w:val="20"/>
          <w:szCs w:val="20"/>
          <w:lang w:eastAsia="ru-UA"/>
        </w:rPr>
        <w:t xml:space="preserve"> серпня 2022 року. Бюлетені для голосування на Загальних зборах приймаються виключно до 18-00 години 18 серпня 2022 року (дати завершення голосування).</w:t>
      </w:r>
    </w:p>
    <w:p w14:paraId="21B9EAC9" w14:textId="77777777" w:rsidR="0039795A" w:rsidRPr="001E5E3F" w:rsidRDefault="0039795A" w:rsidP="0039795A">
      <w:pPr>
        <w:shd w:val="clear" w:color="auto" w:fill="FFFFFF"/>
        <w:spacing w:before="100" w:beforeAutospacing="1" w:after="100" w:afterAutospacing="1"/>
        <w:jc w:val="both"/>
        <w:rPr>
          <w:rFonts w:ascii="PragmaticaCTT" w:hAnsi="PragmaticaCTT" w:cs="Arial"/>
          <w:sz w:val="20"/>
          <w:szCs w:val="20"/>
          <w:lang w:eastAsia="ru-UA"/>
        </w:rPr>
      </w:pPr>
      <w:r w:rsidRPr="00746848">
        <w:rPr>
          <w:rFonts w:ascii="PragmaticaCTT" w:hAnsi="PragmaticaCTT" w:cs="Arial"/>
          <w:color w:val="000000" w:themeColor="text1"/>
          <w:sz w:val="20"/>
          <w:szCs w:val="20"/>
          <w:lang w:eastAsia="ru-UA"/>
        </w:rPr>
        <w:t xml:space="preserve">Для реєстрації акціонерів (їх представників)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w:t>
      </w:r>
      <w:r w:rsidRPr="00B115B7">
        <w:rPr>
          <w:rFonts w:ascii="PragmaticaCTT" w:hAnsi="PragmaticaCTT" w:cs="Arial"/>
          <w:color w:val="000000" w:themeColor="text1"/>
          <w:sz w:val="20"/>
          <w:szCs w:val="20"/>
          <w:lang w:eastAsia="ru-UA"/>
        </w:rPr>
        <w:t xml:space="preserve">У випадку подання бюлетеня для голосування, підписаного представником акціонера, до бюлетеня для голосування додаються документи, що </w:t>
      </w:r>
      <w:r w:rsidRPr="001E5E3F">
        <w:rPr>
          <w:rFonts w:ascii="PragmaticaCTT" w:hAnsi="PragmaticaCTT" w:cs="Arial"/>
          <w:sz w:val="20"/>
          <w:szCs w:val="20"/>
          <w:lang w:eastAsia="ru-UA"/>
        </w:rPr>
        <w:t>підтверджують повноваження такого представника акціонера або їх належним чином засвідчені копії.</w:t>
      </w:r>
    </w:p>
    <w:p w14:paraId="7470E8DF" w14:textId="77777777" w:rsidR="0039795A" w:rsidRPr="001E5E3F" w:rsidRDefault="0039795A" w:rsidP="0039795A">
      <w:pPr>
        <w:shd w:val="clear" w:color="auto" w:fill="FFFFFF"/>
        <w:spacing w:before="100" w:beforeAutospacing="1" w:after="100" w:afterAutospacing="1"/>
        <w:jc w:val="both"/>
        <w:rPr>
          <w:rFonts w:ascii="PragmaticaCTT" w:hAnsi="PragmaticaCTT" w:cs="Arial"/>
          <w:sz w:val="20"/>
          <w:szCs w:val="20"/>
          <w:lang w:eastAsia="ru-UA"/>
        </w:rPr>
      </w:pPr>
      <w:r w:rsidRPr="001E5E3F">
        <w:rPr>
          <w:rFonts w:ascii="PragmaticaCTT" w:hAnsi="PragmaticaCTT" w:cs="Arial"/>
          <w:sz w:val="20"/>
          <w:szCs w:val="20"/>
          <w:lang w:eastAsia="ru-UA"/>
        </w:rPr>
        <w:t>Голосування на Загальних зборах здійснюється з усіх питань порядку денного</w:t>
      </w:r>
      <w:r w:rsidRPr="001E5E3F">
        <w:rPr>
          <w:rFonts w:ascii="PragmaticaCTT" w:hAnsi="PragmaticaCTT" w:cs="Arial"/>
          <w:sz w:val="20"/>
          <w:szCs w:val="20"/>
          <w:lang w:val="uk-UA" w:eastAsia="ru-UA"/>
        </w:rPr>
        <w:t xml:space="preserve"> </w:t>
      </w:r>
      <w:r w:rsidRPr="001E5E3F">
        <w:rPr>
          <w:rFonts w:ascii="PragmaticaCTT" w:hAnsi="PragmaticaCTT" w:cs="Arial"/>
          <w:sz w:val="20"/>
          <w:szCs w:val="20"/>
          <w:lang w:eastAsia="ru-UA"/>
        </w:rPr>
        <w:t>шляхом подання акціонерами бюлетенів депозитарній установі, яка обслуговує рахунок в цінних паперах акціонера, на якому обліковуються належні акціонеру акції ПРАТ “Кропивницький ОЕЗ”. Бюлетень, що був отриманий депозитарною установою після завершення часу, відведеного на голосування, вважається таким, що не поданий. На Загальних зборах не може бути оголошено перерву або змінено послідовність розгляду питань порядку денного.</w:t>
      </w:r>
    </w:p>
    <w:p w14:paraId="2AA2BAA2"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Бюлетень для голосування на </w:t>
      </w:r>
      <w:r>
        <w:rPr>
          <w:rFonts w:ascii="PragmaticaCTT" w:hAnsi="PragmaticaCTT" w:cs="Arial"/>
          <w:color w:val="000000" w:themeColor="text1"/>
          <w:sz w:val="20"/>
          <w:szCs w:val="20"/>
          <w:lang w:eastAsia="ru-UA"/>
        </w:rPr>
        <w:t>Загальних зборах</w:t>
      </w:r>
      <w:r w:rsidRPr="00B115B7">
        <w:rPr>
          <w:rFonts w:ascii="PragmaticaCTT" w:hAnsi="PragmaticaCTT" w:cs="Arial"/>
          <w:color w:val="000000" w:themeColor="text1"/>
          <w:sz w:val="20"/>
          <w:szCs w:val="20"/>
          <w:lang w:eastAsia="ru-UA"/>
        </w:rPr>
        <w:t xml:space="preserve"> засвідчується одним з наступних способів за вибором акціонера: 1) за допомогою кваліфікованого електронного підпису акціонера (його представника); 2) нотаріально, за умови підписання бюлетеня в присутності нотаріуса або посадової особи, яка вчиняє нотаріальні дії; 3) депозитарною установою, яка обслуговує рахунок в цінних паперах такого акціонера, на якому обліковуються належні акціонеру акції</w:t>
      </w:r>
      <w:r>
        <w:rPr>
          <w:rFonts w:ascii="PragmaticaCTT" w:hAnsi="PragmaticaCTT" w:cs="Arial"/>
          <w:color w:val="000000" w:themeColor="text1"/>
          <w:sz w:val="20"/>
          <w:szCs w:val="20"/>
          <w:lang w:eastAsia="ru-UA"/>
        </w:rPr>
        <w:t xml:space="preserve"> ПРАТ “Кропивницький ОЕЗ”</w:t>
      </w:r>
      <w:r w:rsidRPr="00B115B7">
        <w:rPr>
          <w:rFonts w:ascii="PragmaticaCTT" w:hAnsi="PragmaticaCTT" w:cs="Arial"/>
          <w:color w:val="000000" w:themeColor="text1"/>
          <w:sz w:val="20"/>
          <w:szCs w:val="20"/>
          <w:lang w:eastAsia="ru-UA"/>
        </w:rPr>
        <w:t>, за умови підписання бюлетеня в присутності уповноваженої особи депозитарної установи.</w:t>
      </w:r>
    </w:p>
    <w:p w14:paraId="3FDEAA00"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У </w:t>
      </w:r>
      <w:r>
        <w:rPr>
          <w:rFonts w:ascii="PragmaticaCTT" w:hAnsi="PragmaticaCTT" w:cs="Arial"/>
          <w:color w:val="000000" w:themeColor="text1"/>
          <w:sz w:val="20"/>
          <w:szCs w:val="20"/>
          <w:lang w:eastAsia="ru-UA"/>
        </w:rPr>
        <w:t>Загальних зборах</w:t>
      </w:r>
      <w:r w:rsidRPr="00B115B7">
        <w:rPr>
          <w:rFonts w:ascii="PragmaticaCTT" w:hAnsi="PragmaticaCTT" w:cs="Arial"/>
          <w:color w:val="000000" w:themeColor="text1"/>
          <w:sz w:val="20"/>
          <w:szCs w:val="20"/>
          <w:lang w:eastAsia="ru-UA"/>
        </w:rPr>
        <w:t xml:space="preserve"> можуть брати участь особи, включені до переліку акціонерів, які мають право на таку участь, або їх представники. На вимогу акціонера </w:t>
      </w:r>
      <w:r>
        <w:rPr>
          <w:rFonts w:ascii="PragmaticaCTT" w:hAnsi="PragmaticaCTT" w:cs="Arial"/>
          <w:color w:val="000000" w:themeColor="text1"/>
          <w:sz w:val="20"/>
          <w:szCs w:val="20"/>
          <w:lang w:val="uk-UA" w:eastAsia="ru-UA"/>
        </w:rPr>
        <w:t>Т</w:t>
      </w:r>
      <w:r w:rsidRPr="00B115B7">
        <w:rPr>
          <w:rFonts w:ascii="PragmaticaCTT" w:hAnsi="PragmaticaCTT" w:cs="Arial"/>
          <w:color w:val="000000" w:themeColor="text1"/>
          <w:sz w:val="20"/>
          <w:szCs w:val="20"/>
          <w:lang w:eastAsia="ru-UA"/>
        </w:rPr>
        <w:t xml:space="preserve">овариство або особа, яка веде облік права власності на акції </w:t>
      </w:r>
      <w:r>
        <w:rPr>
          <w:rFonts w:ascii="PragmaticaCTT" w:hAnsi="PragmaticaCTT" w:cs="Arial"/>
          <w:color w:val="000000" w:themeColor="text1"/>
          <w:sz w:val="20"/>
          <w:szCs w:val="20"/>
          <w:lang w:val="uk-UA" w:eastAsia="ru-UA"/>
        </w:rPr>
        <w:t>Т</w:t>
      </w:r>
      <w:r w:rsidRPr="00B115B7">
        <w:rPr>
          <w:rFonts w:ascii="PragmaticaCTT" w:hAnsi="PragmaticaCTT" w:cs="Arial"/>
          <w:color w:val="000000" w:themeColor="text1"/>
          <w:sz w:val="20"/>
          <w:szCs w:val="20"/>
          <w:lang w:eastAsia="ru-UA"/>
        </w:rPr>
        <w:t xml:space="preserve">овариства, зобов'язані надати інформацію про включення його до переліку акціонерів, які мають право на участь у загальних зборах. Обмеження права акціонера на участь у </w:t>
      </w:r>
      <w:r>
        <w:rPr>
          <w:rFonts w:ascii="PragmaticaCTT" w:hAnsi="PragmaticaCTT" w:cs="Arial"/>
          <w:color w:val="000000" w:themeColor="text1"/>
          <w:sz w:val="20"/>
          <w:szCs w:val="20"/>
          <w:lang w:val="uk-UA" w:eastAsia="ru-UA"/>
        </w:rPr>
        <w:t>З</w:t>
      </w:r>
      <w:r w:rsidRPr="00B115B7">
        <w:rPr>
          <w:rFonts w:ascii="PragmaticaCTT" w:hAnsi="PragmaticaCTT" w:cs="Arial"/>
          <w:color w:val="000000" w:themeColor="text1"/>
          <w:sz w:val="20"/>
          <w:szCs w:val="20"/>
          <w:lang w:eastAsia="ru-UA"/>
        </w:rPr>
        <w:t>агальних зборах встановлюється законом.</w:t>
      </w:r>
    </w:p>
    <w:p w14:paraId="5C2C90F9"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Pr>
          <w:rFonts w:ascii="PragmaticaCTT" w:hAnsi="PragmaticaCTT" w:cs="Arial"/>
          <w:color w:val="000000" w:themeColor="text1"/>
          <w:sz w:val="20"/>
          <w:szCs w:val="20"/>
          <w:lang w:eastAsia="ru-UA"/>
        </w:rPr>
        <w:t>Для представлення інтересів акціонера</w:t>
      </w:r>
      <w:r w:rsidRPr="00B115B7">
        <w:rPr>
          <w:rFonts w:ascii="PragmaticaCTT" w:hAnsi="PragmaticaCTT" w:cs="Arial"/>
          <w:color w:val="000000" w:themeColor="text1"/>
          <w:sz w:val="20"/>
          <w:szCs w:val="20"/>
          <w:lang w:eastAsia="ru-UA"/>
        </w:rPr>
        <w:t xml:space="preserve">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w:t>
      </w:r>
      <w:r>
        <w:rPr>
          <w:rFonts w:ascii="PragmaticaCTT" w:hAnsi="PragmaticaCTT" w:cs="Arial"/>
          <w:color w:val="000000" w:themeColor="text1"/>
          <w:sz w:val="20"/>
          <w:szCs w:val="20"/>
          <w:lang w:eastAsia="ru-UA"/>
        </w:rPr>
        <w:t>а</w:t>
      </w:r>
      <w:r w:rsidRPr="00B115B7">
        <w:rPr>
          <w:rFonts w:ascii="PragmaticaCTT" w:hAnsi="PragmaticaCTT" w:cs="Arial"/>
          <w:color w:val="000000" w:themeColor="text1"/>
          <w:sz w:val="20"/>
          <w:szCs w:val="20"/>
          <w:lang w:eastAsia="ru-UA"/>
        </w:rPr>
        <w:t>кціонер має право призначити свого представника</w:t>
      </w:r>
      <w:r>
        <w:rPr>
          <w:rFonts w:ascii="PragmaticaCTT" w:hAnsi="PragmaticaCTT" w:cs="Arial"/>
          <w:color w:val="000000" w:themeColor="text1"/>
          <w:sz w:val="20"/>
          <w:szCs w:val="20"/>
          <w:lang w:eastAsia="ru-UA"/>
        </w:rPr>
        <w:t xml:space="preserve"> </w:t>
      </w:r>
      <w:r w:rsidRPr="00B115B7">
        <w:rPr>
          <w:rFonts w:ascii="PragmaticaCTT" w:hAnsi="PragmaticaCTT" w:cs="Arial"/>
          <w:color w:val="000000" w:themeColor="text1"/>
          <w:sz w:val="20"/>
          <w:szCs w:val="20"/>
          <w:lang w:eastAsia="ru-UA"/>
        </w:rPr>
        <w:t xml:space="preserve">постійно або на певний строк. Довіреність на право участі та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видана фізичною особою, посвідчується нотаріусом або іншими посадовими особами, які </w:t>
      </w:r>
      <w:r w:rsidRPr="00B115B7">
        <w:rPr>
          <w:rFonts w:ascii="PragmaticaCTT" w:hAnsi="PragmaticaCTT" w:cs="Arial"/>
          <w:color w:val="000000" w:themeColor="text1"/>
          <w:sz w:val="20"/>
          <w:szCs w:val="20"/>
          <w:lang w:eastAsia="ru-UA"/>
        </w:rPr>
        <w:lastRenderedPageBreak/>
        <w:t>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14:paraId="34C28B88"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Довіреність на право участі та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може містити завдання щодо голосування, тобто перелік питань, порядку денного </w:t>
      </w:r>
      <w:r>
        <w:rPr>
          <w:rFonts w:ascii="PragmaticaCTT" w:hAnsi="PragmaticaCTT" w:cs="Arial"/>
          <w:color w:val="000000" w:themeColor="text1"/>
          <w:sz w:val="20"/>
          <w:szCs w:val="20"/>
          <w:lang w:val="uk-UA" w:eastAsia="ru-UA"/>
        </w:rPr>
        <w:t>З</w:t>
      </w:r>
      <w:r w:rsidRPr="00B115B7">
        <w:rPr>
          <w:rFonts w:ascii="PragmaticaCTT" w:hAnsi="PragmaticaCTT" w:cs="Arial"/>
          <w:color w:val="000000" w:themeColor="text1"/>
          <w:sz w:val="20"/>
          <w:szCs w:val="20"/>
          <w:lang w:eastAsia="ru-UA"/>
        </w:rPr>
        <w:t xml:space="preserve">агальних зборів із зазначенням того, як і за яке (проти якого) рішення потрібно проголосувати. Під час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зборах на свій розсуд.</w:t>
      </w:r>
    </w:p>
    <w:p w14:paraId="266FA98A"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Акціонер має право видати довіреність на право участі та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декільком своїм представникам. Якщо для участі в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зборах шляхом направлення бюлетенів для голосування здійснили декілька представників акціонера, яким</w:t>
      </w:r>
      <w:r>
        <w:rPr>
          <w:rFonts w:ascii="PragmaticaCTT" w:hAnsi="PragmaticaCTT" w:cs="Arial"/>
          <w:color w:val="000000" w:themeColor="text1"/>
          <w:sz w:val="20"/>
          <w:szCs w:val="20"/>
          <w:lang w:eastAsia="ru-UA"/>
        </w:rPr>
        <w:t xml:space="preserve"> </w:t>
      </w:r>
      <w:r w:rsidRPr="00B115B7">
        <w:rPr>
          <w:rFonts w:ascii="PragmaticaCTT" w:hAnsi="PragmaticaCTT" w:cs="Arial"/>
          <w:color w:val="000000" w:themeColor="text1"/>
          <w:sz w:val="20"/>
          <w:szCs w:val="20"/>
          <w:lang w:eastAsia="ru-UA"/>
        </w:rPr>
        <w:t>довіреність видана одночасно, для участі в загальних зборах допускається той представник, який надав бюлетень першим.</w:t>
      </w:r>
    </w:p>
    <w:p w14:paraId="24C7D166"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 xml:space="preserve">Надання довіреності на право участі та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не виключає право участі на цих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зборах акціонера, який видав довіреність, замість свого представника.</w:t>
      </w:r>
      <w:r>
        <w:rPr>
          <w:rFonts w:ascii="PragmaticaCTT" w:hAnsi="PragmaticaCTT" w:cs="Arial"/>
          <w:color w:val="000000" w:themeColor="text1"/>
          <w:sz w:val="20"/>
          <w:szCs w:val="20"/>
          <w:lang w:eastAsia="ru-UA"/>
        </w:rPr>
        <w:t xml:space="preserve"> </w:t>
      </w:r>
      <w:r w:rsidRPr="00B115B7">
        <w:rPr>
          <w:rFonts w:ascii="PragmaticaCTT" w:hAnsi="PragmaticaCTT" w:cs="Arial"/>
          <w:color w:val="000000" w:themeColor="text1"/>
          <w:sz w:val="20"/>
          <w:szCs w:val="20"/>
          <w:lang w:eastAsia="ru-UA"/>
        </w:rPr>
        <w:t xml:space="preserve">Акціонер має право у будь-який час до закінчення строку, відведеного для голосування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відкликати чи замінити свого представника на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 xml:space="preserve">агальних зборах, повідомивши про це </w:t>
      </w:r>
      <w:r>
        <w:rPr>
          <w:rFonts w:ascii="PragmaticaCTT" w:hAnsi="PragmaticaCTT" w:cs="Arial"/>
          <w:color w:val="000000" w:themeColor="text1"/>
          <w:sz w:val="20"/>
          <w:szCs w:val="20"/>
          <w:lang w:eastAsia="ru-UA"/>
        </w:rPr>
        <w:t>Т</w:t>
      </w:r>
      <w:r w:rsidRPr="00B115B7">
        <w:rPr>
          <w:rFonts w:ascii="PragmaticaCTT" w:hAnsi="PragmaticaCTT" w:cs="Arial"/>
          <w:color w:val="000000" w:themeColor="text1"/>
          <w:sz w:val="20"/>
          <w:szCs w:val="20"/>
          <w:lang w:eastAsia="ru-UA"/>
        </w:rPr>
        <w:t xml:space="preserve">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w:t>
      </w:r>
      <w:r>
        <w:rPr>
          <w:rFonts w:ascii="PragmaticaCTT" w:hAnsi="PragmaticaCTT" w:cs="Arial"/>
          <w:color w:val="000000" w:themeColor="text1"/>
          <w:sz w:val="20"/>
          <w:szCs w:val="20"/>
          <w:lang w:eastAsia="ru-UA"/>
        </w:rPr>
        <w:t>З</w:t>
      </w:r>
      <w:r w:rsidRPr="00B115B7">
        <w:rPr>
          <w:rFonts w:ascii="PragmaticaCTT" w:hAnsi="PragmaticaCTT" w:cs="Arial"/>
          <w:color w:val="000000" w:themeColor="text1"/>
          <w:sz w:val="20"/>
          <w:szCs w:val="20"/>
          <w:lang w:eastAsia="ru-UA"/>
        </w:rPr>
        <w:t>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20B90DB9" w14:textId="77777777" w:rsidR="0039795A" w:rsidRPr="00B115B7" w:rsidRDefault="0039795A" w:rsidP="0039795A">
      <w:pPr>
        <w:shd w:val="clear" w:color="auto" w:fill="FFFFFF"/>
        <w:spacing w:before="100" w:beforeAutospacing="1" w:after="100" w:afterAutospacing="1"/>
        <w:jc w:val="both"/>
        <w:rPr>
          <w:rFonts w:ascii="PragmaticaCTT" w:hAnsi="PragmaticaCTT" w:cs="Arial"/>
          <w:color w:val="000000" w:themeColor="text1"/>
          <w:sz w:val="20"/>
          <w:szCs w:val="20"/>
          <w:lang w:eastAsia="ru-UA"/>
        </w:rPr>
      </w:pPr>
      <w:r w:rsidRPr="00B115B7">
        <w:rPr>
          <w:rFonts w:ascii="PragmaticaCTT" w:hAnsi="PragmaticaCTT" w:cs="Arial"/>
          <w:color w:val="000000" w:themeColor="text1"/>
          <w:sz w:val="20"/>
          <w:szCs w:val="20"/>
          <w:lang w:eastAsia="ru-UA"/>
        </w:rPr>
        <w:t>Особам, яким рахунок в цінних паперах депозитарною установою відкрито на підставі договору з</w:t>
      </w:r>
      <w:r>
        <w:rPr>
          <w:rFonts w:ascii="PragmaticaCTT" w:hAnsi="PragmaticaCTT" w:cs="Arial"/>
          <w:color w:val="000000" w:themeColor="text1"/>
          <w:sz w:val="20"/>
          <w:szCs w:val="20"/>
          <w:lang w:eastAsia="ru-UA"/>
        </w:rPr>
        <w:t xml:space="preserve"> Товариством</w:t>
      </w:r>
      <w:r w:rsidRPr="00B115B7">
        <w:rPr>
          <w:rFonts w:ascii="PragmaticaCTT" w:hAnsi="PragmaticaCTT" w:cs="Arial"/>
          <w:color w:val="000000" w:themeColor="text1"/>
          <w:sz w:val="20"/>
          <w:szCs w:val="20"/>
          <w:lang w:eastAsia="ru-UA"/>
        </w:rPr>
        <w:t>, необхідно укласти договір з депозитарними установами для забезпечення реалізації права на участь у дистанційних</w:t>
      </w:r>
      <w:r>
        <w:rPr>
          <w:rFonts w:ascii="PragmaticaCTT" w:hAnsi="PragmaticaCTT" w:cs="Arial"/>
          <w:color w:val="000000" w:themeColor="text1"/>
          <w:sz w:val="20"/>
          <w:szCs w:val="20"/>
          <w:lang w:eastAsia="ru-UA"/>
        </w:rPr>
        <w:t xml:space="preserve"> </w:t>
      </w:r>
      <w:r w:rsidRPr="00B115B7">
        <w:rPr>
          <w:rFonts w:ascii="PragmaticaCTT" w:hAnsi="PragmaticaCTT" w:cs="Arial"/>
          <w:color w:val="000000" w:themeColor="text1"/>
          <w:sz w:val="20"/>
          <w:szCs w:val="20"/>
          <w:lang w:eastAsia="ru-UA"/>
        </w:rPr>
        <w:t>Загальних зборах акціонерів</w:t>
      </w:r>
      <w:r>
        <w:rPr>
          <w:rFonts w:ascii="PragmaticaCTT" w:hAnsi="PragmaticaCTT" w:cs="Arial"/>
          <w:color w:val="000000" w:themeColor="text1"/>
          <w:sz w:val="20"/>
          <w:szCs w:val="20"/>
          <w:lang w:eastAsia="ru-UA"/>
        </w:rPr>
        <w:t xml:space="preserve"> ПРАТ “Кропивницький ОЕЗ”</w:t>
      </w:r>
      <w:r w:rsidRPr="00B115B7">
        <w:rPr>
          <w:rFonts w:ascii="PragmaticaCTT" w:hAnsi="PragmaticaCTT" w:cs="Arial"/>
          <w:color w:val="000000" w:themeColor="text1"/>
          <w:sz w:val="20"/>
          <w:szCs w:val="20"/>
          <w:lang w:eastAsia="ru-UA"/>
        </w:rPr>
        <w:t>.</w:t>
      </w:r>
    </w:p>
    <w:p w14:paraId="7650399C" w14:textId="77777777" w:rsidR="0039795A" w:rsidRPr="005D4B1C" w:rsidRDefault="0039795A" w:rsidP="0039795A">
      <w:pPr>
        <w:pStyle w:val="a3"/>
        <w:shd w:val="clear" w:color="auto" w:fill="FFFFFF"/>
        <w:jc w:val="right"/>
        <w:rPr>
          <w:rFonts w:ascii="PragmaticaCTT" w:hAnsi="PragmaticaCTT" w:cs="Arial"/>
          <w:b/>
          <w:bCs/>
          <w:color w:val="000000" w:themeColor="text1"/>
          <w:sz w:val="20"/>
          <w:szCs w:val="20"/>
          <w:u w:val="single"/>
          <w:lang w:val="uk-UA"/>
        </w:rPr>
      </w:pPr>
      <w:r w:rsidRPr="005D4B1C">
        <w:rPr>
          <w:rFonts w:ascii="PragmaticaCTT" w:hAnsi="PragmaticaCTT" w:cs="Arial"/>
          <w:b/>
          <w:bCs/>
          <w:color w:val="000000" w:themeColor="text1"/>
          <w:sz w:val="20"/>
          <w:szCs w:val="20"/>
          <w:u w:val="single"/>
          <w:lang w:val="uk-UA"/>
        </w:rPr>
        <w:t xml:space="preserve">Наглядова рада </w:t>
      </w:r>
      <w:r w:rsidRPr="005D4B1C">
        <w:rPr>
          <w:rFonts w:ascii="PragmaticaCTT" w:hAnsi="PragmaticaCTT" w:cs="Arial"/>
          <w:b/>
          <w:bCs/>
          <w:color w:val="000000" w:themeColor="text1"/>
          <w:sz w:val="20"/>
          <w:szCs w:val="20"/>
          <w:u w:val="single"/>
        </w:rPr>
        <w:t>ПРАТ “Кропивницький ОЕЗ”</w:t>
      </w:r>
    </w:p>
    <w:p w14:paraId="7EBF19D8" w14:textId="77777777" w:rsidR="0039795A" w:rsidRDefault="0039795A" w:rsidP="0039795A">
      <w:pPr>
        <w:ind w:firstLine="360"/>
        <w:jc w:val="both"/>
        <w:rPr>
          <w:sz w:val="26"/>
          <w:szCs w:val="26"/>
          <w:u w:val="single"/>
          <w:lang w:val="uk-UA"/>
        </w:rPr>
      </w:pPr>
    </w:p>
    <w:p w14:paraId="2BC59CBE" w14:textId="5A92BE62" w:rsidR="00B1467F" w:rsidRPr="00A002AB" w:rsidRDefault="00B1467F" w:rsidP="00A002AB"/>
    <w:sectPr w:rsidR="00B1467F" w:rsidRPr="00A002AB" w:rsidSect="00460AB0">
      <w:footerReference w:type="default" r:id="rId11"/>
      <w:pgSz w:w="11906" w:h="16838" w:code="9"/>
      <w:pgMar w:top="567"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C10F" w14:textId="77777777" w:rsidR="00866D02" w:rsidRDefault="00866D02" w:rsidP="005D4B1C">
      <w:r>
        <w:separator/>
      </w:r>
    </w:p>
  </w:endnote>
  <w:endnote w:type="continuationSeparator" w:id="0">
    <w:p w14:paraId="3390C4A2" w14:textId="77777777" w:rsidR="00866D02" w:rsidRDefault="00866D02" w:rsidP="005D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3856"/>
      <w:docPartObj>
        <w:docPartGallery w:val="Page Numbers (Bottom of Page)"/>
        <w:docPartUnique/>
      </w:docPartObj>
    </w:sdtPr>
    <w:sdtEndPr/>
    <w:sdtContent>
      <w:p w14:paraId="09483F9E" w14:textId="300B9F9C" w:rsidR="005D4B1C" w:rsidRDefault="005D4B1C">
        <w:pPr>
          <w:pStyle w:val="ad"/>
          <w:jc w:val="right"/>
        </w:pPr>
        <w:r>
          <w:fldChar w:fldCharType="begin"/>
        </w:r>
        <w:r>
          <w:instrText>PAGE   \* MERGEFORMAT</w:instrText>
        </w:r>
        <w:r>
          <w:fldChar w:fldCharType="separate"/>
        </w:r>
        <w:r>
          <w:t>2</w:t>
        </w:r>
        <w:r>
          <w:fldChar w:fldCharType="end"/>
        </w:r>
      </w:p>
    </w:sdtContent>
  </w:sdt>
  <w:p w14:paraId="20F599F9" w14:textId="77777777" w:rsidR="005D4B1C" w:rsidRDefault="005D4B1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9654" w14:textId="77777777" w:rsidR="00866D02" w:rsidRDefault="00866D02" w:rsidP="005D4B1C">
      <w:r>
        <w:separator/>
      </w:r>
    </w:p>
  </w:footnote>
  <w:footnote w:type="continuationSeparator" w:id="0">
    <w:p w14:paraId="0E19671D" w14:textId="77777777" w:rsidR="00866D02" w:rsidRDefault="00866D02" w:rsidP="005D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16BA05F0"/>
    <w:multiLevelType w:val="hybridMultilevel"/>
    <w:tmpl w:val="DF320508"/>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78C43D2D"/>
    <w:multiLevelType w:val="multilevel"/>
    <w:tmpl w:val="487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239093">
    <w:abstractNumId w:val="2"/>
  </w:num>
  <w:num w:numId="2" w16cid:durableId="907110006">
    <w:abstractNumId w:val="1"/>
  </w:num>
  <w:num w:numId="3" w16cid:durableId="188567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D75"/>
    <w:rsid w:val="0000163C"/>
    <w:rsid w:val="00025DB6"/>
    <w:rsid w:val="000279A9"/>
    <w:rsid w:val="00031304"/>
    <w:rsid w:val="000654DE"/>
    <w:rsid w:val="00070B22"/>
    <w:rsid w:val="000A2801"/>
    <w:rsid w:val="000B23A8"/>
    <w:rsid w:val="000B771D"/>
    <w:rsid w:val="000C6222"/>
    <w:rsid w:val="000E48F3"/>
    <w:rsid w:val="00101A17"/>
    <w:rsid w:val="001121D2"/>
    <w:rsid w:val="00162F87"/>
    <w:rsid w:val="0018761F"/>
    <w:rsid w:val="00192053"/>
    <w:rsid w:val="00193925"/>
    <w:rsid w:val="001A3EE9"/>
    <w:rsid w:val="001A6C03"/>
    <w:rsid w:val="001B11A0"/>
    <w:rsid w:val="001D2515"/>
    <w:rsid w:val="001E1912"/>
    <w:rsid w:val="001E46BC"/>
    <w:rsid w:val="001E5E3F"/>
    <w:rsid w:val="00203637"/>
    <w:rsid w:val="002271B8"/>
    <w:rsid w:val="00234D42"/>
    <w:rsid w:val="0025467E"/>
    <w:rsid w:val="002737B0"/>
    <w:rsid w:val="00294983"/>
    <w:rsid w:val="0029772A"/>
    <w:rsid w:val="002B0412"/>
    <w:rsid w:val="002C0A27"/>
    <w:rsid w:val="002C180D"/>
    <w:rsid w:val="002D4CE0"/>
    <w:rsid w:val="002D76EC"/>
    <w:rsid w:val="002F1C30"/>
    <w:rsid w:val="002F6811"/>
    <w:rsid w:val="002F713E"/>
    <w:rsid w:val="002F778E"/>
    <w:rsid w:val="003054EB"/>
    <w:rsid w:val="00330C6E"/>
    <w:rsid w:val="00345D75"/>
    <w:rsid w:val="00377ECF"/>
    <w:rsid w:val="003827C8"/>
    <w:rsid w:val="0039795A"/>
    <w:rsid w:val="003B5B62"/>
    <w:rsid w:val="003B7EA9"/>
    <w:rsid w:val="003D255A"/>
    <w:rsid w:val="003E5787"/>
    <w:rsid w:val="003F72F3"/>
    <w:rsid w:val="00412B53"/>
    <w:rsid w:val="0043010E"/>
    <w:rsid w:val="00440777"/>
    <w:rsid w:val="00446D0C"/>
    <w:rsid w:val="004477A8"/>
    <w:rsid w:val="00460AB0"/>
    <w:rsid w:val="00463098"/>
    <w:rsid w:val="004636E4"/>
    <w:rsid w:val="0046502B"/>
    <w:rsid w:val="00493C03"/>
    <w:rsid w:val="004A13C6"/>
    <w:rsid w:val="004B4C86"/>
    <w:rsid w:val="004F5931"/>
    <w:rsid w:val="00510CB2"/>
    <w:rsid w:val="00523C49"/>
    <w:rsid w:val="00534D28"/>
    <w:rsid w:val="00537110"/>
    <w:rsid w:val="005469C9"/>
    <w:rsid w:val="00552596"/>
    <w:rsid w:val="00564644"/>
    <w:rsid w:val="0059605B"/>
    <w:rsid w:val="005B1C76"/>
    <w:rsid w:val="005B6445"/>
    <w:rsid w:val="005D42A9"/>
    <w:rsid w:val="005D4B1C"/>
    <w:rsid w:val="005F42A8"/>
    <w:rsid w:val="005F5236"/>
    <w:rsid w:val="00606871"/>
    <w:rsid w:val="006134E1"/>
    <w:rsid w:val="006208B6"/>
    <w:rsid w:val="006218C3"/>
    <w:rsid w:val="00626AEC"/>
    <w:rsid w:val="00650B66"/>
    <w:rsid w:val="006823A5"/>
    <w:rsid w:val="006A286B"/>
    <w:rsid w:val="006D422B"/>
    <w:rsid w:val="006F2767"/>
    <w:rsid w:val="0073601E"/>
    <w:rsid w:val="00746848"/>
    <w:rsid w:val="00760FEF"/>
    <w:rsid w:val="007651A0"/>
    <w:rsid w:val="00765E31"/>
    <w:rsid w:val="00784238"/>
    <w:rsid w:val="00794B74"/>
    <w:rsid w:val="0079769B"/>
    <w:rsid w:val="007C0055"/>
    <w:rsid w:val="007C0C6B"/>
    <w:rsid w:val="007C74FD"/>
    <w:rsid w:val="007C7D12"/>
    <w:rsid w:val="007E0C2C"/>
    <w:rsid w:val="00800291"/>
    <w:rsid w:val="00810B2A"/>
    <w:rsid w:val="00815C3F"/>
    <w:rsid w:val="00861C32"/>
    <w:rsid w:val="00866D02"/>
    <w:rsid w:val="00871486"/>
    <w:rsid w:val="00871F72"/>
    <w:rsid w:val="00874A59"/>
    <w:rsid w:val="00875EC5"/>
    <w:rsid w:val="00880D2B"/>
    <w:rsid w:val="008855BD"/>
    <w:rsid w:val="0088577B"/>
    <w:rsid w:val="00894F09"/>
    <w:rsid w:val="00895434"/>
    <w:rsid w:val="008958AD"/>
    <w:rsid w:val="008B2039"/>
    <w:rsid w:val="008B408B"/>
    <w:rsid w:val="008B5011"/>
    <w:rsid w:val="008E55C4"/>
    <w:rsid w:val="008E690F"/>
    <w:rsid w:val="008F1AAA"/>
    <w:rsid w:val="009045CB"/>
    <w:rsid w:val="00912304"/>
    <w:rsid w:val="00915717"/>
    <w:rsid w:val="00925EEE"/>
    <w:rsid w:val="009507E6"/>
    <w:rsid w:val="00950C6E"/>
    <w:rsid w:val="00953D8A"/>
    <w:rsid w:val="0095559F"/>
    <w:rsid w:val="00964CFD"/>
    <w:rsid w:val="009753FD"/>
    <w:rsid w:val="00987049"/>
    <w:rsid w:val="009A7F8E"/>
    <w:rsid w:val="009B1127"/>
    <w:rsid w:val="009B213B"/>
    <w:rsid w:val="009B2723"/>
    <w:rsid w:val="009E19EE"/>
    <w:rsid w:val="00A002AB"/>
    <w:rsid w:val="00A14B79"/>
    <w:rsid w:val="00A247F0"/>
    <w:rsid w:val="00A32BDD"/>
    <w:rsid w:val="00A46AB6"/>
    <w:rsid w:val="00A54FD5"/>
    <w:rsid w:val="00A64E16"/>
    <w:rsid w:val="00A67E4D"/>
    <w:rsid w:val="00A87879"/>
    <w:rsid w:val="00AC2743"/>
    <w:rsid w:val="00AD46EF"/>
    <w:rsid w:val="00AE5BAF"/>
    <w:rsid w:val="00B00501"/>
    <w:rsid w:val="00B115B7"/>
    <w:rsid w:val="00B1467F"/>
    <w:rsid w:val="00B221EF"/>
    <w:rsid w:val="00B25C09"/>
    <w:rsid w:val="00B34C62"/>
    <w:rsid w:val="00B37525"/>
    <w:rsid w:val="00B47AB1"/>
    <w:rsid w:val="00B7649B"/>
    <w:rsid w:val="00B8347B"/>
    <w:rsid w:val="00B843C2"/>
    <w:rsid w:val="00B90E74"/>
    <w:rsid w:val="00BA2705"/>
    <w:rsid w:val="00BA664E"/>
    <w:rsid w:val="00BE0A1F"/>
    <w:rsid w:val="00BE2E07"/>
    <w:rsid w:val="00BE4344"/>
    <w:rsid w:val="00BF088F"/>
    <w:rsid w:val="00BF30DE"/>
    <w:rsid w:val="00C1528A"/>
    <w:rsid w:val="00C20078"/>
    <w:rsid w:val="00C226DD"/>
    <w:rsid w:val="00C30426"/>
    <w:rsid w:val="00C32F33"/>
    <w:rsid w:val="00C61D1D"/>
    <w:rsid w:val="00C65D34"/>
    <w:rsid w:val="00C67B28"/>
    <w:rsid w:val="00C7178D"/>
    <w:rsid w:val="00C777FD"/>
    <w:rsid w:val="00C8256A"/>
    <w:rsid w:val="00C856B2"/>
    <w:rsid w:val="00C86C8A"/>
    <w:rsid w:val="00CA5873"/>
    <w:rsid w:val="00CA7070"/>
    <w:rsid w:val="00CB101E"/>
    <w:rsid w:val="00CC11B3"/>
    <w:rsid w:val="00CD5D8B"/>
    <w:rsid w:val="00CE587A"/>
    <w:rsid w:val="00CF263C"/>
    <w:rsid w:val="00D31036"/>
    <w:rsid w:val="00D4127B"/>
    <w:rsid w:val="00D4322B"/>
    <w:rsid w:val="00D55079"/>
    <w:rsid w:val="00D56E5B"/>
    <w:rsid w:val="00D609CE"/>
    <w:rsid w:val="00D956CB"/>
    <w:rsid w:val="00DB3226"/>
    <w:rsid w:val="00E66F2F"/>
    <w:rsid w:val="00E7127A"/>
    <w:rsid w:val="00E8144E"/>
    <w:rsid w:val="00E828C3"/>
    <w:rsid w:val="00E854C7"/>
    <w:rsid w:val="00E917C8"/>
    <w:rsid w:val="00E94C23"/>
    <w:rsid w:val="00E95C9F"/>
    <w:rsid w:val="00EA229E"/>
    <w:rsid w:val="00EB36C2"/>
    <w:rsid w:val="00EC0187"/>
    <w:rsid w:val="00ED283D"/>
    <w:rsid w:val="00EE559A"/>
    <w:rsid w:val="00EE64D8"/>
    <w:rsid w:val="00EF2CDB"/>
    <w:rsid w:val="00F005AE"/>
    <w:rsid w:val="00F11906"/>
    <w:rsid w:val="00F31A85"/>
    <w:rsid w:val="00F32B6A"/>
    <w:rsid w:val="00F515F8"/>
    <w:rsid w:val="00F55795"/>
    <w:rsid w:val="00F83A78"/>
    <w:rsid w:val="00F904F9"/>
    <w:rsid w:val="00FA7229"/>
    <w:rsid w:val="00FB0370"/>
    <w:rsid w:val="00FB171D"/>
    <w:rsid w:val="00FD16C9"/>
    <w:rsid w:val="00FE35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A2E5"/>
  <w15:chartTrackingRefBased/>
  <w15:docId w15:val="{84731C74-375F-4C04-8E05-ECB61292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A9"/>
    <w:pPr>
      <w:spacing w:after="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D75"/>
    <w:pPr>
      <w:spacing w:before="100" w:beforeAutospacing="1" w:after="100" w:afterAutospacing="1"/>
    </w:pPr>
    <w:rPr>
      <w:lang w:val="ru-UA" w:eastAsia="ru-UA"/>
    </w:rPr>
  </w:style>
  <w:style w:type="character" w:styleId="a4">
    <w:name w:val="Strong"/>
    <w:basedOn w:val="a0"/>
    <w:uiPriority w:val="22"/>
    <w:qFormat/>
    <w:rsid w:val="00345D75"/>
    <w:rPr>
      <w:b/>
      <w:bCs/>
    </w:rPr>
  </w:style>
  <w:style w:type="character" w:styleId="a5">
    <w:name w:val="Emphasis"/>
    <w:basedOn w:val="a0"/>
    <w:qFormat/>
    <w:rsid w:val="00345D75"/>
    <w:rPr>
      <w:i/>
      <w:iCs/>
    </w:rPr>
  </w:style>
  <w:style w:type="paragraph" w:styleId="a6">
    <w:name w:val="No Spacing"/>
    <w:uiPriority w:val="1"/>
    <w:qFormat/>
    <w:rsid w:val="001B11A0"/>
    <w:pPr>
      <w:spacing w:after="0"/>
    </w:pPr>
  </w:style>
  <w:style w:type="character" w:styleId="a7">
    <w:name w:val="Hyperlink"/>
    <w:basedOn w:val="a0"/>
    <w:uiPriority w:val="99"/>
    <w:unhideWhenUsed/>
    <w:rsid w:val="00987049"/>
    <w:rPr>
      <w:color w:val="0563C1" w:themeColor="hyperlink"/>
      <w:u w:val="single"/>
    </w:rPr>
  </w:style>
  <w:style w:type="character" w:styleId="a8">
    <w:name w:val="Unresolved Mention"/>
    <w:basedOn w:val="a0"/>
    <w:uiPriority w:val="99"/>
    <w:semiHidden/>
    <w:unhideWhenUsed/>
    <w:rsid w:val="00987049"/>
    <w:rPr>
      <w:color w:val="605E5C"/>
      <w:shd w:val="clear" w:color="auto" w:fill="E1DFDD"/>
    </w:rPr>
  </w:style>
  <w:style w:type="paragraph" w:styleId="a9">
    <w:name w:val="List Paragraph"/>
    <w:aliases w:val="Bullet Number,Use Case List Paragraph,Содержание. 2 уровень"/>
    <w:basedOn w:val="a"/>
    <w:link w:val="aa"/>
    <w:uiPriority w:val="34"/>
    <w:qFormat/>
    <w:rsid w:val="0000163C"/>
    <w:pPr>
      <w:ind w:left="720"/>
    </w:pPr>
    <w:rPr>
      <w:rFonts w:ascii="Calibri" w:hAnsi="Calibri" w:cs="Calibri"/>
    </w:rPr>
  </w:style>
  <w:style w:type="character" w:customStyle="1" w:styleId="Legal2">
    <w:name w:val="Legal[2]"/>
    <w:rsid w:val="00FE3535"/>
  </w:style>
  <w:style w:type="paragraph" w:styleId="ab">
    <w:name w:val="header"/>
    <w:basedOn w:val="a"/>
    <w:link w:val="ac"/>
    <w:uiPriority w:val="99"/>
    <w:unhideWhenUsed/>
    <w:rsid w:val="005D4B1C"/>
    <w:pPr>
      <w:tabs>
        <w:tab w:val="center" w:pos="4677"/>
        <w:tab w:val="right" w:pos="9355"/>
      </w:tabs>
    </w:pPr>
  </w:style>
  <w:style w:type="character" w:customStyle="1" w:styleId="ac">
    <w:name w:val="Верхний колонтитул Знак"/>
    <w:basedOn w:val="a0"/>
    <w:link w:val="ab"/>
    <w:uiPriority w:val="99"/>
    <w:rsid w:val="005D4B1C"/>
  </w:style>
  <w:style w:type="paragraph" w:styleId="ad">
    <w:name w:val="footer"/>
    <w:basedOn w:val="a"/>
    <w:link w:val="ae"/>
    <w:uiPriority w:val="99"/>
    <w:unhideWhenUsed/>
    <w:rsid w:val="005D4B1C"/>
    <w:pPr>
      <w:tabs>
        <w:tab w:val="center" w:pos="4677"/>
        <w:tab w:val="right" w:pos="9355"/>
      </w:tabs>
    </w:pPr>
  </w:style>
  <w:style w:type="character" w:customStyle="1" w:styleId="ae">
    <w:name w:val="Нижний колонтитул Знак"/>
    <w:basedOn w:val="a0"/>
    <w:link w:val="ad"/>
    <w:uiPriority w:val="99"/>
    <w:rsid w:val="005D4B1C"/>
  </w:style>
  <w:style w:type="character" w:customStyle="1" w:styleId="aa">
    <w:name w:val="Абзац списка Знак"/>
    <w:aliases w:val="Bullet Number Знак,Use Case List Paragraph Знак,Содержание. 2 уровень Знак"/>
    <w:link w:val="a9"/>
    <w:uiPriority w:val="34"/>
    <w:locked/>
    <w:rsid w:val="0073601E"/>
    <w:rPr>
      <w:rFonts w:ascii="Calibri" w:eastAsia="Times New Roman" w:hAnsi="Calibri" w:cs="Calibri"/>
      <w:lang w:val="ru-RU" w:eastAsia="ru-RU"/>
    </w:rPr>
  </w:style>
  <w:style w:type="paragraph" w:customStyle="1" w:styleId="af">
    <w:name w:val="Знак Знак"/>
    <w:basedOn w:val="a"/>
    <w:rsid w:val="005F42A8"/>
    <w:pPr>
      <w:spacing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62">
      <w:bodyDiv w:val="1"/>
      <w:marLeft w:val="0"/>
      <w:marRight w:val="0"/>
      <w:marTop w:val="0"/>
      <w:marBottom w:val="0"/>
      <w:divBdr>
        <w:top w:val="none" w:sz="0" w:space="0" w:color="auto"/>
        <w:left w:val="none" w:sz="0" w:space="0" w:color="auto"/>
        <w:bottom w:val="none" w:sz="0" w:space="0" w:color="auto"/>
        <w:right w:val="none" w:sz="0" w:space="0" w:color="auto"/>
      </w:divBdr>
    </w:div>
    <w:div w:id="6430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ogradoliya.pat.ua/documents/povidomlennya-pro-zbo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rovogradoliya.pat.ua/documents/infoins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irovogradoliya.pat.ua/documents/infoinshe" TargetMode="External"/><Relationship Id="rId4" Type="http://schemas.openxmlformats.org/officeDocument/2006/relationships/webSettings" Target="webSettings.xml"/><Relationship Id="rId9" Type="http://schemas.openxmlformats.org/officeDocument/2006/relationships/hyperlink" Target="mailto:r.uschapovsky@kerne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4</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202</cp:revision>
  <dcterms:created xsi:type="dcterms:W3CDTF">2022-07-20T12:48:00Z</dcterms:created>
  <dcterms:modified xsi:type="dcterms:W3CDTF">2022-07-27T12:11:00Z</dcterms:modified>
</cp:coreProperties>
</file>